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67F">
      <w:pPr>
        <w:autoSpaceDE w:val="0"/>
        <w:autoSpaceDN w:val="0"/>
        <w:adjustRightInd w:val="0"/>
        <w:snapToGrid w:val="0"/>
        <w:spacing w:line="360" w:lineRule="auto"/>
        <w:jc w:val="center"/>
        <w:rPr>
          <w:rFonts w:hint="eastAsia" w:ascii="宋体" w:hAnsi="宋体"/>
          <w:b/>
          <w:color w:val="auto"/>
          <w:kern w:val="0"/>
          <w:sz w:val="44"/>
          <w:szCs w:val="44"/>
          <w:highlight w:val="none"/>
        </w:rPr>
      </w:pPr>
      <w:bookmarkStart w:id="0" w:name="_Toc200359426"/>
      <w:bookmarkStart w:id="1" w:name="_Toc200359237"/>
      <w:bookmarkStart w:id="2" w:name="_Toc224103298"/>
      <w:bookmarkStart w:id="3" w:name="_Toc443576762"/>
      <w:r>
        <w:rPr>
          <w:rFonts w:hint="eastAsia" w:ascii="宋体" w:hAnsi="宋体"/>
          <w:b/>
          <w:color w:val="auto"/>
          <w:kern w:val="0"/>
          <w:sz w:val="44"/>
          <w:szCs w:val="44"/>
          <w:highlight w:val="none"/>
        </w:rPr>
        <w:t xml:space="preserve"> </w:t>
      </w:r>
      <w:bookmarkStart w:id="4" w:name="_Hlk79935546"/>
    </w:p>
    <w:p w14:paraId="60AEB5BD">
      <w:pPr>
        <w:pStyle w:val="9"/>
        <w:jc w:val="center"/>
        <w:rPr>
          <w:rFonts w:hint="eastAsia" w:cs="宋体"/>
          <w:b/>
          <w:bCs w:val="0"/>
          <w:color w:val="auto"/>
          <w:sz w:val="44"/>
          <w:szCs w:val="44"/>
          <w:highlight w:val="none"/>
          <w:lang w:val="en-US" w:eastAsia="zh-CN"/>
        </w:rPr>
      </w:pPr>
      <w:r>
        <w:rPr>
          <w:rFonts w:hint="eastAsia" w:cs="宋体"/>
          <w:b/>
          <w:bCs w:val="0"/>
          <w:color w:val="auto"/>
          <w:sz w:val="44"/>
          <w:szCs w:val="44"/>
          <w:highlight w:val="none"/>
          <w:lang w:val="en-US" w:eastAsia="zh-CN"/>
        </w:rPr>
        <w:t>执行强制到案措施谈话场所建设项目施工劳务</w:t>
      </w:r>
    </w:p>
    <w:p w14:paraId="7B9364A2">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r>
        <w:rPr>
          <w:rFonts w:hint="eastAsia" w:ascii="宋体" w:hAnsi="宋体" w:eastAsia="宋体" w:cs="宋体"/>
          <w:bCs/>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经评审的最低投标价法</w:t>
      </w:r>
      <w:r>
        <w:rPr>
          <w:rFonts w:hint="eastAsia" w:ascii="宋体" w:hAnsi="宋体" w:eastAsia="宋体" w:cs="宋体"/>
          <w:bCs/>
          <w:color w:val="auto"/>
          <w:sz w:val="44"/>
          <w:szCs w:val="44"/>
          <w:highlight w:val="none"/>
          <w:lang w:eastAsia="zh-CN"/>
        </w:rPr>
        <w:t>）</w:t>
      </w:r>
    </w:p>
    <w:p w14:paraId="05873E11">
      <w:pPr>
        <w:autoSpaceDE w:val="0"/>
        <w:autoSpaceDN w:val="0"/>
        <w:adjustRightInd w:val="0"/>
        <w:snapToGrid w:val="0"/>
        <w:spacing w:line="360" w:lineRule="auto"/>
        <w:jc w:val="center"/>
        <w:rPr>
          <w:rFonts w:hint="eastAsia" w:ascii="宋体" w:hAnsi="宋体" w:eastAsia="宋体" w:cs="MingLiU"/>
          <w:b/>
          <w:color w:val="auto"/>
          <w:kern w:val="0"/>
          <w:sz w:val="84"/>
          <w:szCs w:val="44"/>
          <w:highlight w:val="none"/>
          <w:lang w:eastAsia="zh-CN"/>
        </w:rPr>
      </w:pPr>
    </w:p>
    <w:p w14:paraId="3A7CF460">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 xml:space="preserve"> 竞争性比选文件</w:t>
      </w:r>
    </w:p>
    <w:p w14:paraId="450A0082">
      <w:pPr>
        <w:autoSpaceDE w:val="0"/>
        <w:autoSpaceDN w:val="0"/>
        <w:adjustRightInd w:val="0"/>
        <w:snapToGrid w:val="0"/>
        <w:spacing w:line="360" w:lineRule="auto"/>
        <w:jc w:val="center"/>
        <w:rPr>
          <w:rFonts w:hint="eastAsia"/>
          <w:color w:val="auto"/>
          <w:highlight w:val="none"/>
        </w:rPr>
      </w:pPr>
    </w:p>
    <w:p w14:paraId="0FC2C706">
      <w:pPr>
        <w:pStyle w:val="8"/>
        <w:rPr>
          <w:color w:val="auto"/>
          <w:highlight w:val="none"/>
        </w:rPr>
      </w:pPr>
    </w:p>
    <w:p w14:paraId="78EA6AAA">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14:paraId="5A5EAD58">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14:paraId="7A21995C">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2433914F">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0AC41B4">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448F5BB8">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11FF2BA">
      <w:pPr>
        <w:rPr>
          <w:rFonts w:hint="eastAsia" w:ascii="宋体" w:hAnsi="宋体" w:cs="MingLiU"/>
          <w:color w:val="auto"/>
          <w:kern w:val="0"/>
          <w:sz w:val="20"/>
          <w:szCs w:val="20"/>
          <w:highlight w:val="none"/>
        </w:rPr>
      </w:pPr>
    </w:p>
    <w:p w14:paraId="189F2E6A">
      <w:pPr>
        <w:pStyle w:val="4"/>
        <w:rPr>
          <w:rFonts w:hint="eastAsia" w:ascii="宋体" w:hAnsi="宋体"/>
          <w:color w:val="auto"/>
          <w:sz w:val="20"/>
          <w:szCs w:val="20"/>
          <w:highlight w:val="none"/>
        </w:rPr>
      </w:pPr>
    </w:p>
    <w:p w14:paraId="7A713AED">
      <w:pPr>
        <w:rPr>
          <w:rFonts w:hint="eastAsia"/>
          <w:color w:val="auto"/>
          <w:highlight w:val="none"/>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14:paraId="2EE69655">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重庆鹏皓项目管理有限公司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14:paraId="4B3EBD4A">
      <w:pPr>
        <w:autoSpaceDE w:val="0"/>
        <w:autoSpaceDN w:val="0"/>
        <w:adjustRightInd w:val="0"/>
        <w:snapToGrid w:val="0"/>
        <w:spacing w:line="360" w:lineRule="auto"/>
        <w:rPr>
          <w:rFonts w:hint="eastAsia" w:ascii="宋体"/>
          <w:b/>
          <w:color w:val="auto"/>
          <w:kern w:val="0"/>
          <w:sz w:val="28"/>
          <w:szCs w:val="28"/>
          <w:highlight w:val="none"/>
        </w:rPr>
      </w:pPr>
    </w:p>
    <w:p w14:paraId="37E56948">
      <w:pPr>
        <w:spacing w:line="360" w:lineRule="auto"/>
        <w:ind w:firstLine="582" w:firstLineChars="196"/>
        <w:rPr>
          <w:rFonts w:hint="eastAsia" w:ascii="宋体" w:hAnsi="宋体" w:cs="MingLiU"/>
          <w:b/>
          <w:color w:val="auto"/>
          <w:spacing w:val="8"/>
          <w:kern w:val="0"/>
          <w:sz w:val="28"/>
          <w:szCs w:val="28"/>
          <w:highlight w:val="none"/>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七</w:t>
      </w:r>
      <w:r>
        <w:rPr>
          <w:rFonts w:hint="eastAsia" w:ascii="宋体" w:hAnsi="宋体" w:cs="MingLiU"/>
          <w:b/>
          <w:color w:val="auto"/>
          <w:w w:val="99"/>
          <w:kern w:val="0"/>
          <w:sz w:val="28"/>
          <w:szCs w:val="28"/>
          <w:highlight w:val="none"/>
        </w:rPr>
        <w:t>月</w:t>
      </w:r>
    </w:p>
    <w:bookmarkEnd w:id="4"/>
    <w:p w14:paraId="5ABA9076">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auto"/>
          <w:highlight w:val="none"/>
        </w:rPr>
      </w:pPr>
      <w:r>
        <w:rPr>
          <w:rFonts w:hint="eastAsia"/>
          <w:color w:val="auto"/>
          <w:sz w:val="40"/>
          <w:szCs w:val="48"/>
          <w:highlight w:val="none"/>
        </w:rPr>
        <w:t>目  录</w:t>
      </w:r>
    </w:p>
    <w:p w14:paraId="3689B902">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08D733F">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7715A89">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846520C">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3A7845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544A5C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98488B1">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A84D571">
      <w:pPr>
        <w:pStyle w:val="8"/>
        <w:rPr>
          <w:color w:val="auto"/>
          <w:highlight w:val="none"/>
        </w:rPr>
      </w:pPr>
      <w:r>
        <w:rPr>
          <w:color w:val="auto"/>
          <w:highlight w:val="none"/>
        </w:rPr>
        <w:fldChar w:fldCharType="end"/>
      </w:r>
    </w:p>
    <w:p w14:paraId="36AFAB83">
      <w:pPr>
        <w:rPr>
          <w:color w:val="auto"/>
          <w:highlight w:val="none"/>
        </w:rPr>
      </w:pPr>
    </w:p>
    <w:p w14:paraId="7BA56DC8">
      <w:pPr>
        <w:pStyle w:val="8"/>
        <w:rPr>
          <w:color w:val="auto"/>
          <w:highlight w:val="none"/>
        </w:rPr>
      </w:pPr>
    </w:p>
    <w:p w14:paraId="0EB7B4F5">
      <w:pPr>
        <w:rPr>
          <w:color w:val="auto"/>
          <w:highlight w:val="none"/>
        </w:rPr>
      </w:pPr>
    </w:p>
    <w:p w14:paraId="2D482489">
      <w:pPr>
        <w:pStyle w:val="8"/>
        <w:tabs>
          <w:tab w:val="left" w:pos="7730"/>
        </w:tabs>
        <w:rPr>
          <w:rFonts w:hint="eastAsia"/>
          <w:color w:val="auto"/>
          <w:highlight w:val="none"/>
        </w:rPr>
      </w:pPr>
      <w:r>
        <w:rPr>
          <w:rFonts w:hint="eastAsia"/>
          <w:color w:val="auto"/>
          <w:highlight w:val="none"/>
        </w:rPr>
        <w:tab/>
      </w:r>
    </w:p>
    <w:p w14:paraId="75CAD245">
      <w:pPr>
        <w:rPr>
          <w:color w:val="auto"/>
          <w:highlight w:val="none"/>
        </w:rPr>
      </w:pPr>
    </w:p>
    <w:p w14:paraId="35B84DB2">
      <w:pPr>
        <w:pStyle w:val="8"/>
        <w:rPr>
          <w:color w:val="auto"/>
          <w:highlight w:val="none"/>
        </w:rPr>
      </w:pPr>
    </w:p>
    <w:p w14:paraId="36F65928">
      <w:pPr>
        <w:rPr>
          <w:color w:val="auto"/>
          <w:highlight w:val="none"/>
        </w:rPr>
      </w:pPr>
    </w:p>
    <w:p w14:paraId="70D0AC6B">
      <w:pPr>
        <w:pStyle w:val="8"/>
        <w:rPr>
          <w:color w:val="auto"/>
          <w:highlight w:val="none"/>
        </w:rPr>
      </w:pPr>
    </w:p>
    <w:p w14:paraId="0F02DB44">
      <w:pPr>
        <w:rPr>
          <w:color w:val="auto"/>
          <w:highlight w:val="none"/>
        </w:rPr>
      </w:pPr>
    </w:p>
    <w:p w14:paraId="27A1BDFF">
      <w:pPr>
        <w:pStyle w:val="8"/>
        <w:rPr>
          <w:color w:val="auto"/>
          <w:highlight w:val="none"/>
        </w:rPr>
      </w:pPr>
    </w:p>
    <w:p w14:paraId="23E48D23">
      <w:pPr>
        <w:rPr>
          <w:color w:val="auto"/>
          <w:highlight w:val="none"/>
        </w:rPr>
      </w:pPr>
    </w:p>
    <w:p w14:paraId="6D95561A">
      <w:pPr>
        <w:pStyle w:val="8"/>
        <w:rPr>
          <w:color w:val="auto"/>
          <w:highlight w:val="none"/>
        </w:rPr>
      </w:pPr>
    </w:p>
    <w:p w14:paraId="420DC7BD">
      <w:pPr>
        <w:rPr>
          <w:color w:val="auto"/>
          <w:highlight w:val="none"/>
        </w:rPr>
      </w:pPr>
    </w:p>
    <w:p w14:paraId="0BA4DAD8">
      <w:pPr>
        <w:pStyle w:val="8"/>
        <w:rPr>
          <w:color w:val="auto"/>
          <w:highlight w:val="none"/>
        </w:rPr>
      </w:pPr>
    </w:p>
    <w:p w14:paraId="43281C91">
      <w:pPr>
        <w:rPr>
          <w:color w:val="auto"/>
          <w:highlight w:val="none"/>
        </w:rPr>
      </w:pPr>
    </w:p>
    <w:p w14:paraId="788A90AB">
      <w:pPr>
        <w:pStyle w:val="8"/>
        <w:rPr>
          <w:color w:val="auto"/>
          <w:highlight w:val="none"/>
        </w:rPr>
      </w:pPr>
    </w:p>
    <w:p w14:paraId="76C469AC">
      <w:pPr>
        <w:rPr>
          <w:color w:val="auto"/>
          <w:highlight w:val="none"/>
        </w:rPr>
      </w:pPr>
    </w:p>
    <w:p w14:paraId="499CA5EB">
      <w:pPr>
        <w:pStyle w:val="8"/>
        <w:rPr>
          <w:color w:val="auto"/>
          <w:highlight w:val="none"/>
        </w:rPr>
      </w:pPr>
    </w:p>
    <w:p w14:paraId="4AF15CA6">
      <w:pPr>
        <w:rPr>
          <w:color w:val="auto"/>
          <w:highlight w:val="none"/>
        </w:rPr>
      </w:pPr>
    </w:p>
    <w:p w14:paraId="3D65CCE3">
      <w:pPr>
        <w:pStyle w:val="8"/>
        <w:rPr>
          <w:color w:val="auto"/>
          <w:highlight w:val="none"/>
        </w:rPr>
      </w:pPr>
    </w:p>
    <w:p w14:paraId="189BDBEA">
      <w:pPr>
        <w:rPr>
          <w:color w:val="auto"/>
          <w:highlight w:val="none"/>
        </w:rPr>
      </w:pPr>
    </w:p>
    <w:p w14:paraId="7863BEAC">
      <w:pPr>
        <w:pStyle w:val="8"/>
        <w:rPr>
          <w:color w:val="auto"/>
          <w:highlight w:val="none"/>
        </w:rPr>
      </w:pPr>
    </w:p>
    <w:p w14:paraId="77CF98A3">
      <w:pPr>
        <w:rPr>
          <w:color w:val="auto"/>
          <w:highlight w:val="none"/>
        </w:rPr>
      </w:pPr>
    </w:p>
    <w:p w14:paraId="63EE75F4">
      <w:pPr>
        <w:pStyle w:val="8"/>
        <w:rPr>
          <w:color w:val="auto"/>
          <w:highlight w:val="none"/>
        </w:rPr>
      </w:pPr>
    </w:p>
    <w:bookmarkEnd w:id="0"/>
    <w:bookmarkEnd w:id="1"/>
    <w:bookmarkEnd w:id="2"/>
    <w:p w14:paraId="4D6F67E2">
      <w:pPr>
        <w:pStyle w:val="2"/>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3"/>
      <w:bookmarkEnd w:id="5"/>
      <w:r>
        <w:rPr>
          <w:rFonts w:hint="eastAsia" w:ascii="Times New Roman" w:hAnsi="Times New Roman" w:eastAsia="宋体" w:cs="Times New Roman"/>
          <w:color w:val="auto"/>
          <w:sz w:val="36"/>
          <w:szCs w:val="36"/>
          <w:highlight w:val="none"/>
          <w:lang w:eastAsia="zh-CN"/>
        </w:rPr>
        <w:t>（</w:t>
      </w:r>
      <w:r>
        <w:rPr>
          <w:rFonts w:hint="eastAsia" w:ascii="Times New Roman" w:hAnsi="Times New Roman" w:eastAsia="宋体" w:cs="Times New Roman"/>
          <w:color w:val="auto"/>
          <w:sz w:val="36"/>
          <w:szCs w:val="36"/>
          <w:highlight w:val="none"/>
          <w:lang w:val="en-US" w:eastAsia="zh-CN"/>
        </w:rPr>
        <w:t>经评审的合理低价法</w:t>
      </w:r>
      <w:r>
        <w:rPr>
          <w:rFonts w:hint="eastAsia" w:ascii="Times New Roman" w:hAnsi="Times New Roman" w:eastAsia="宋体" w:cs="Times New Roman"/>
          <w:color w:val="auto"/>
          <w:sz w:val="36"/>
          <w:szCs w:val="36"/>
          <w:highlight w:val="none"/>
          <w:lang w:eastAsia="zh-CN"/>
        </w:rPr>
        <w:t>）</w:t>
      </w:r>
    </w:p>
    <w:p w14:paraId="1DFD1523">
      <w:pPr>
        <w:pStyle w:val="2"/>
        <w:numPr>
          <w:ilvl w:val="0"/>
          <w:numId w:val="0"/>
        </w:numPr>
        <w:jc w:val="center"/>
        <w:rPr>
          <w:rFonts w:hint="eastAsia"/>
          <w:color w:val="auto"/>
          <w:sz w:val="36"/>
          <w:szCs w:val="36"/>
          <w:highlight w:val="none"/>
        </w:rPr>
      </w:pPr>
    </w:p>
    <w:p w14:paraId="3E10E15E">
      <w:pPr>
        <w:pStyle w:val="4"/>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212871819"/>
      <w:bookmarkStart w:id="7" w:name="_Toc443576763"/>
      <w:bookmarkStart w:id="8" w:name="_Toc443576770"/>
      <w:bookmarkStart w:id="9" w:name="_Toc224103315"/>
      <w:r>
        <w:rPr>
          <w:rFonts w:hint="eastAsia" w:ascii="宋体" w:eastAsia="宋体"/>
          <w:snapToGrid w:val="0"/>
          <w:color w:val="auto"/>
          <w:sz w:val="21"/>
          <w:szCs w:val="21"/>
          <w:highlight w:val="none"/>
        </w:rPr>
        <w:t>1．比选条件</w:t>
      </w:r>
      <w:bookmarkEnd w:id="6"/>
      <w:bookmarkEnd w:id="7"/>
    </w:p>
    <w:p w14:paraId="4EF583C9">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color w:val="auto"/>
          <w:spacing w:val="4"/>
          <w:sz w:val="22"/>
          <w:szCs w:val="22"/>
          <w:highlight w:val="none"/>
          <w:u w:val="single" w:color="auto"/>
          <w:lang w:eastAsia="zh-CN"/>
        </w:rPr>
        <w:t>执行强制到案措施谈话场所建设项目施工劳务</w:t>
      </w:r>
      <w:r>
        <w:rPr>
          <w:rFonts w:hint="eastAsia" w:ascii="宋体" w:hAnsi="宋体" w:cs="宋体"/>
          <w:bCs/>
          <w:color w:val="auto"/>
          <w:kern w:val="0"/>
          <w:sz w:val="22"/>
          <w:szCs w:val="22"/>
          <w:highlight w:val="none"/>
          <w:u w:val="none"/>
        </w:rPr>
        <w:t>已</w:t>
      </w:r>
      <w:r>
        <w:rPr>
          <w:rFonts w:hint="eastAsia" w:ascii="宋体" w:hAnsi="宋体" w:cs="宋体"/>
          <w:bCs/>
          <w:color w:val="auto"/>
          <w:kern w:val="0"/>
          <w:sz w:val="22"/>
          <w:szCs w:val="22"/>
          <w:highlight w:val="none"/>
        </w:rPr>
        <w:t>由</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color w:val="auto"/>
          <w:sz w:val="22"/>
          <w:szCs w:val="22"/>
          <w:highlight w:val="none"/>
          <w:shd w:val="clear" w:color="auto" w:fill="FFFFFF"/>
        </w:rPr>
        <w:t>批准建设</w:t>
      </w:r>
      <w:r>
        <w:rPr>
          <w:rFonts w:hint="eastAsia" w:ascii="宋体" w:hAnsi="宋体" w:cs="宋体"/>
          <w:bCs/>
          <w:color w:val="auto"/>
          <w:kern w:val="0"/>
          <w:sz w:val="22"/>
          <w:szCs w:val="22"/>
          <w:highlight w:val="none"/>
        </w:rPr>
        <w:t>，比选人为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bookmarkStart w:id="10" w:name="_Toc214434226"/>
      <w:r>
        <w:rPr>
          <w:rFonts w:hint="eastAsia" w:ascii="宋体" w:hAnsi="宋体" w:cs="宋体"/>
          <w:bCs/>
          <w:color w:val="auto"/>
          <w:kern w:val="0"/>
          <w:sz w:val="22"/>
          <w:szCs w:val="22"/>
          <w:highlight w:val="none"/>
          <w:u w:val="single"/>
          <w:lang w:val="en-US" w:eastAsia="zh-CN"/>
        </w:rPr>
        <w:t>专项资金</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14:paraId="52B470EE">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auto"/>
          <w:sz w:val="22"/>
          <w:szCs w:val="22"/>
          <w:highlight w:val="none"/>
        </w:rPr>
      </w:pPr>
      <w:bookmarkStart w:id="11" w:name="_Toc443576764"/>
      <w:r>
        <w:rPr>
          <w:rFonts w:hint="eastAsia" w:ascii="宋体" w:eastAsia="宋体"/>
          <w:snapToGrid w:val="0"/>
          <w:color w:val="auto"/>
          <w:sz w:val="22"/>
          <w:szCs w:val="22"/>
          <w:highlight w:val="none"/>
        </w:rPr>
        <w:t>2．项目概况与比选范围</w:t>
      </w:r>
      <w:bookmarkEnd w:id="10"/>
      <w:bookmarkEnd w:id="11"/>
    </w:p>
    <w:p w14:paraId="33089E6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2.1 项目建设地点：</w:t>
      </w:r>
      <w:r>
        <w:rPr>
          <w:rFonts w:hint="eastAsia" w:ascii="宋体" w:hAnsi="宋体" w:cs="宋体"/>
          <w:color w:val="auto"/>
          <w:spacing w:val="4"/>
          <w:sz w:val="22"/>
          <w:szCs w:val="22"/>
          <w:highlight w:val="none"/>
          <w:u w:val="single" w:color="auto"/>
          <w:lang w:eastAsia="zh-CN"/>
        </w:rPr>
        <w:t>彭水县老气象局。</w:t>
      </w:r>
    </w:p>
    <w:p w14:paraId="3BECA388">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2.2项目建设规模及建设内容</w:t>
      </w:r>
      <w:r>
        <w:rPr>
          <w:rFonts w:hint="eastAsia" w:ascii="宋体" w:hAnsi="宋体" w:eastAsia="宋体" w:cs="宋体"/>
          <w:color w:val="auto"/>
          <w:spacing w:val="9"/>
          <w:sz w:val="21"/>
          <w:szCs w:val="21"/>
          <w:highlight w:val="none"/>
          <w:lang w:val="en-US" w:eastAsia="zh-CN"/>
        </w:rPr>
        <w:t>：</w:t>
      </w:r>
      <w:r>
        <w:rPr>
          <w:rFonts w:hint="eastAsia" w:ascii="宋体" w:hAnsi="宋体" w:cs="宋体"/>
          <w:color w:val="auto"/>
          <w:spacing w:val="4"/>
          <w:sz w:val="22"/>
          <w:szCs w:val="22"/>
          <w:highlight w:val="none"/>
          <w:u w:val="single" w:color="auto"/>
          <w:lang w:val="en-US" w:eastAsia="zh-CN"/>
        </w:rPr>
        <w:t>具体施工内容以比选人提供的工程量清单及图纸为准。</w:t>
      </w:r>
    </w:p>
    <w:p w14:paraId="2A9919D8">
      <w:pPr>
        <w:keepNext w:val="0"/>
        <w:keepLines w:val="0"/>
        <w:pageBreakBefore w:val="0"/>
        <w:numPr>
          <w:ilvl w:val="0"/>
          <w:numId w:val="0"/>
        </w:numPr>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2.3比选范围：</w:t>
      </w:r>
    </w:p>
    <w:p w14:paraId="12EA10ED">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color w:val="auto"/>
          <w:spacing w:val="4"/>
          <w:sz w:val="22"/>
          <w:szCs w:val="22"/>
          <w:highlight w:val="none"/>
          <w:u w:val="single" w:color="auto"/>
          <w:lang w:eastAsia="zh-CN"/>
        </w:rPr>
        <w:t>执行强制到案措施谈话场所建设项目</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 w:val="22"/>
          <w:szCs w:val="22"/>
          <w:highlight w:val="none"/>
        </w:rPr>
        <w:t>具体以比选人提供的工程量清单及图纸为准。</w:t>
      </w:r>
    </w:p>
    <w:p w14:paraId="0FC8249F">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2.4 计划工期</w:t>
      </w:r>
      <w:r>
        <w:rPr>
          <w:rFonts w:hint="eastAsia" w:ascii="宋体" w:hAnsi="宋体"/>
          <w:bCs/>
          <w:color w:val="auto"/>
          <w:sz w:val="22"/>
          <w:szCs w:val="22"/>
          <w:highlight w:val="none"/>
        </w:rPr>
        <w:t>：</w:t>
      </w:r>
      <w:r>
        <w:rPr>
          <w:rFonts w:hint="eastAsia" w:ascii="宋体" w:hAnsi="宋体" w:cs="宋体"/>
          <w:color w:val="auto"/>
          <w:kern w:val="0"/>
          <w:szCs w:val="21"/>
          <w:highlight w:val="none"/>
          <w:u w:val="single"/>
          <w:lang w:val="en-US" w:eastAsia="zh-CN"/>
        </w:rPr>
        <w:t>以比选人要求为准</w:t>
      </w:r>
      <w:r>
        <w:rPr>
          <w:rFonts w:hint="eastAsia" w:ascii="宋体" w:hAnsi="宋体" w:cs="宋体"/>
          <w:color w:val="auto"/>
          <w:kern w:val="0"/>
          <w:szCs w:val="21"/>
          <w:highlight w:val="none"/>
          <w:lang w:val="en-US" w:eastAsia="zh-CN"/>
        </w:rPr>
        <w:t>。</w:t>
      </w:r>
    </w:p>
    <w:p w14:paraId="53149DE8">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14:paraId="4A3941BD">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color w:val="auto"/>
          <w:sz w:val="22"/>
          <w:szCs w:val="22"/>
          <w:highlight w:val="none"/>
          <w:u w:val="single"/>
          <w:lang w:eastAsia="zh-CN"/>
        </w:rPr>
        <w:t>施工劳务不分等级</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u w:val="none"/>
        </w:rPr>
        <w:t>并在人员、设备、资金等方面具有相应的施工能力。</w:t>
      </w:r>
    </w:p>
    <w:p w14:paraId="4C87BB63">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 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w:t>
      </w:r>
      <w:r>
        <w:rPr>
          <w:rFonts w:hint="eastAsia" w:ascii="宋体" w:hAnsi="宋体" w:cs="宋体"/>
          <w:color w:val="auto"/>
          <w:kern w:val="0"/>
          <w:sz w:val="22"/>
          <w:szCs w:val="22"/>
          <w:highlight w:val="none"/>
          <w:lang w:val="en-US" w:eastAsia="zh-CN"/>
        </w:rPr>
        <w:t>竞选</w:t>
      </w:r>
      <w:r>
        <w:rPr>
          <w:rFonts w:hint="eastAsia" w:ascii="宋体" w:hAnsi="宋体" w:cs="宋体"/>
          <w:color w:val="auto"/>
          <w:kern w:val="0"/>
          <w:sz w:val="22"/>
          <w:szCs w:val="22"/>
          <w:highlight w:val="none"/>
        </w:rPr>
        <w:t>。</w:t>
      </w:r>
    </w:p>
    <w:p w14:paraId="45FF4179">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14:paraId="2E1B8595">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 xml:space="preserve"> 7 </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28</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上自行下载本项目比选文件、</w:t>
      </w:r>
      <w:r>
        <w:rPr>
          <w:rFonts w:hint="eastAsia" w:ascii="宋体" w:hAnsi="宋体" w:eastAsia="宋体" w:cs="宋体"/>
          <w:bCs/>
          <w:color w:val="auto"/>
          <w:sz w:val="22"/>
          <w:szCs w:val="22"/>
          <w:highlight w:val="none"/>
          <w:lang w:eastAsia="zh-CN"/>
        </w:rPr>
        <w:t>图纸</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14:paraId="624607AC">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14:paraId="5E8DDFA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竞选文件递交时间为</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5</w:t>
      </w:r>
      <w:r>
        <w:rPr>
          <w:rFonts w:hint="eastAsia" w:ascii="宋体" w:hAnsi="宋体" w:eastAsia="宋体" w:cs="宋体"/>
          <w:color w:val="auto"/>
          <w:kern w:val="0"/>
          <w:sz w:val="22"/>
          <w:szCs w:val="22"/>
          <w:highlight w:val="none"/>
          <w:u w:val="single"/>
        </w:rPr>
        <w:t>年</w:t>
      </w:r>
      <w:r>
        <w:rPr>
          <w:rFonts w:hint="eastAsia" w:ascii="宋体" w:hAnsi="宋体" w:cs="宋体"/>
          <w:color w:val="auto"/>
          <w:kern w:val="0"/>
          <w:sz w:val="22"/>
          <w:szCs w:val="22"/>
          <w:highlight w:val="none"/>
          <w:u w:val="single"/>
          <w:lang w:val="en-US" w:eastAsia="zh-CN"/>
        </w:rPr>
        <w:t xml:space="preserve"> 7 </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31</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14</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14</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14:paraId="1F2F8E61">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5.2 </w:t>
      </w:r>
      <w:r>
        <w:rPr>
          <w:rFonts w:hint="eastAsia" w:ascii="宋体" w:hAnsi="宋体" w:eastAsia="宋体" w:cs="宋体"/>
          <w:color w:val="auto"/>
          <w:kern w:val="0"/>
          <w:sz w:val="22"/>
          <w:szCs w:val="22"/>
          <w:highlight w:val="none"/>
        </w:rPr>
        <w:t>地点为</w:t>
      </w:r>
      <w:bookmarkStart w:id="16"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16"/>
      <w:r>
        <w:rPr>
          <w:rFonts w:hint="eastAsia" w:ascii="宋体" w:hAnsi="宋体" w:eastAsia="宋体" w:cs="宋体"/>
          <w:color w:val="auto"/>
          <w:kern w:val="0"/>
          <w:sz w:val="22"/>
          <w:szCs w:val="22"/>
          <w:highlight w:val="none"/>
        </w:rPr>
        <w:t>；逾期送达的或者未送达指定地点的竞选文件，比选人及比选代理机构不予受理。</w:t>
      </w:r>
    </w:p>
    <w:p w14:paraId="14B36037">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14:paraId="61A57C5D">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14:paraId="2241A3F0">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p>
    <w:p w14:paraId="76EDE6F3">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auto"/>
          <w:sz w:val="22"/>
          <w:szCs w:val="22"/>
          <w:highlight w:val="none"/>
        </w:rPr>
      </w:pPr>
      <w:bookmarkStart w:id="17" w:name="_Toc443576769"/>
    </w:p>
    <w:p w14:paraId="0322F916">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14:paraId="6D5848A4">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比 选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14:paraId="29139055">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14:paraId="4BFCF56E">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14:paraId="5E294A02">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14:paraId="6B8C798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比选代理机构：</w:t>
      </w:r>
      <w:r>
        <w:rPr>
          <w:rFonts w:hint="eastAsia" w:ascii="宋体" w:hAnsi="宋体" w:cs="宋体"/>
          <w:color w:val="auto"/>
          <w:sz w:val="22"/>
          <w:szCs w:val="22"/>
          <w:highlight w:val="none"/>
          <w:lang w:eastAsia="zh-CN"/>
        </w:rPr>
        <w:t>重庆鹏皓项目管理有限公司</w:t>
      </w:r>
    </w:p>
    <w:p w14:paraId="49E28AA6">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Helvetica" w:hAnsi="Helvetica" w:cs="Helvetica"/>
          <w:i w:val="0"/>
          <w:iCs w:val="0"/>
          <w:caps w:val="0"/>
          <w:color w:val="auto"/>
          <w:spacing w:val="0"/>
          <w:sz w:val="22"/>
          <w:szCs w:val="22"/>
          <w:highlight w:val="none"/>
          <w:shd w:val="clear" w:color="auto" w:fill="FFFFFF"/>
          <w:lang w:eastAsia="zh-CN"/>
        </w:rPr>
        <w:t>彭水县三桂坪路75号</w:t>
      </w:r>
    </w:p>
    <w:p w14:paraId="1501109E">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田老师</w:t>
      </w:r>
    </w:p>
    <w:p w14:paraId="1C7A5D01">
      <w:pPr>
        <w:pStyle w:val="8"/>
        <w:keepNext w:val="0"/>
        <w:keepLines w:val="0"/>
        <w:pageBreakBefore w:val="0"/>
        <w:kinsoku/>
        <w:wordWrap/>
        <w:overflowPunct/>
        <w:topLinePunct w:val="0"/>
        <w:bidi w:val="0"/>
        <w:spacing w:line="360" w:lineRule="auto"/>
        <w:ind w:firstLine="440" w:firstLineChars="200"/>
        <w:textAlignment w:val="auto"/>
        <w:rPr>
          <w:rFonts w:hint="default"/>
          <w:color w:val="auto"/>
          <w:sz w:val="28"/>
          <w:szCs w:val="28"/>
          <w:highlight w:val="none"/>
          <w:lang w:val="en-US" w:eastAsia="zh-CN"/>
        </w:rPr>
      </w:pPr>
      <w:r>
        <w:rPr>
          <w:rFonts w:hint="eastAsia" w:ascii="宋体" w:hAnsi="宋体" w:eastAsia="宋体" w:cs="宋体"/>
          <w:color w:val="auto"/>
          <w:sz w:val="22"/>
          <w:szCs w:val="22"/>
          <w:highlight w:val="none"/>
          <w:lang w:val="en-US" w:eastAsia="zh-CN"/>
        </w:rPr>
        <w:t>电话：</w:t>
      </w:r>
      <w:r>
        <w:rPr>
          <w:rFonts w:hint="eastAsia" w:ascii="宋体" w:hAnsi="宋体" w:cs="宋体"/>
          <w:color w:val="auto"/>
          <w:sz w:val="22"/>
          <w:szCs w:val="22"/>
          <w:highlight w:val="none"/>
          <w:lang w:val="en-US" w:eastAsia="zh-CN"/>
        </w:rPr>
        <w:t>15320962099</w:t>
      </w:r>
    </w:p>
    <w:p w14:paraId="53408CF6">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auto"/>
          <w:sz w:val="36"/>
          <w:szCs w:val="36"/>
          <w:highlight w:val="none"/>
        </w:rPr>
      </w:pPr>
      <w:bookmarkStart w:id="18" w:name="_Toc12709"/>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14:paraId="65C5A0F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14:paraId="6949EBEF">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14:paraId="25A03D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14:paraId="352EB8F9">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p>
          <w:p w14:paraId="6DFC95E3">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14:paraId="5E5DFA7B">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14:paraId="09608093">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14:paraId="3B900E1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14:paraId="75C26FD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cs="宋体"/>
                <w:color w:val="auto"/>
                <w:sz w:val="21"/>
                <w:szCs w:val="21"/>
                <w:highlight w:val="none"/>
                <w:lang w:eastAsia="zh-CN"/>
              </w:rPr>
              <w:t>重庆鹏皓项目管理有限公司</w:t>
            </w:r>
          </w:p>
          <w:p w14:paraId="540A5AF0">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Helvetica" w:hAnsi="Helvetica" w:cs="Helvetica"/>
                <w:i w:val="0"/>
                <w:iCs w:val="0"/>
                <w:caps w:val="0"/>
                <w:color w:val="auto"/>
                <w:spacing w:val="0"/>
                <w:sz w:val="21"/>
                <w:szCs w:val="21"/>
                <w:highlight w:val="none"/>
                <w:shd w:val="clear" w:color="auto" w:fill="FFFFFF"/>
                <w:lang w:eastAsia="zh-CN"/>
              </w:rPr>
              <w:t>彭水县三桂坪路75号</w:t>
            </w:r>
          </w:p>
          <w:p w14:paraId="35206DE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2"/>
                <w:szCs w:val="22"/>
                <w:highlight w:val="none"/>
                <w:lang w:val="en-US" w:eastAsia="zh-CN"/>
              </w:rPr>
              <w:t>田老师</w:t>
            </w:r>
            <w:r>
              <w:rPr>
                <w:rFonts w:hint="eastAsia" w:ascii="宋体" w:hAnsi="宋体" w:eastAsia="宋体" w:cs="宋体"/>
                <w:color w:val="auto"/>
                <w:sz w:val="21"/>
                <w:szCs w:val="21"/>
                <w:highlight w:val="none"/>
              </w:rPr>
              <w:t> </w:t>
            </w:r>
          </w:p>
          <w:p w14:paraId="07F4F3E3">
            <w:pPr>
              <w:spacing w:line="360" w:lineRule="auto"/>
              <w:jc w:val="left"/>
              <w:rPr>
                <w:rFonts w:hint="default" w:ascii="宋体" w:hAnsi="宋体" w:eastAsia="宋体" w:cs="MingLiU"/>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lang w:val="en-US" w:eastAsia="zh-CN"/>
              </w:rPr>
              <w:t>15320962099</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14:paraId="2DFAA4C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14:paraId="0D487A9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color w:val="auto"/>
                <w:spacing w:val="-8"/>
                <w:sz w:val="21"/>
                <w:szCs w:val="21"/>
                <w:highlight w:val="none"/>
                <w:lang w:val="en-US" w:eastAsia="zh-CN"/>
              </w:rPr>
              <w:t>执行强制到案措施谈话场所建设项目施工劳务</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14:paraId="46D59CB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14:paraId="55BB1431">
            <w:pPr>
              <w:snapToGrid w:val="0"/>
              <w:spacing w:line="420" w:lineRule="exact"/>
              <w:rPr>
                <w:rFonts w:hint="eastAsia" w:ascii="宋体" w:hAnsi="宋体" w:cs="宋体"/>
                <w:bCs/>
                <w:color w:val="auto"/>
                <w:kern w:val="0"/>
                <w:szCs w:val="21"/>
                <w:highlight w:val="none"/>
              </w:rPr>
            </w:pPr>
            <w:r>
              <w:rPr>
                <w:rFonts w:hint="eastAsia" w:ascii="宋体" w:hAnsi="宋体" w:cs="宋体"/>
                <w:color w:val="auto"/>
                <w:spacing w:val="-8"/>
                <w:sz w:val="21"/>
                <w:szCs w:val="21"/>
                <w:highlight w:val="none"/>
                <w:lang w:val="en-US" w:eastAsia="zh-CN"/>
              </w:rPr>
              <w:t>彭水县老气象局。</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14:paraId="43679B5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14:paraId="134B32BB">
            <w:pPr>
              <w:snapToGrid w:val="0"/>
              <w:spacing w:line="420" w:lineRule="exact"/>
              <w:rPr>
                <w:rFonts w:hint="default" w:ascii="宋体" w:hAnsi="宋体" w:cs="宋体"/>
                <w:color w:val="auto"/>
                <w:kern w:val="0"/>
                <w:szCs w:val="21"/>
                <w:highlight w:val="none"/>
                <w:lang w:val="en-US"/>
              </w:rPr>
            </w:pPr>
            <w:r>
              <w:rPr>
                <w:rFonts w:hint="eastAsia" w:ascii="宋体" w:hAnsi="宋体" w:cs="宋体"/>
                <w:bCs/>
                <w:color w:val="auto"/>
                <w:kern w:val="0"/>
                <w:sz w:val="22"/>
                <w:szCs w:val="22"/>
                <w:highlight w:val="none"/>
                <w:lang w:val="en-US" w:eastAsia="zh-CN"/>
              </w:rPr>
              <w:t>专项资金</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14:paraId="17BB53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14:paraId="51A5190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14:paraId="0260EBC1">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14:paraId="49479770">
            <w:pPr>
              <w:snapToGrid w:val="0"/>
              <w:spacing w:line="420" w:lineRule="exact"/>
              <w:rPr>
                <w:rFonts w:hint="eastAsia" w:ascii="宋体" w:hAnsi="宋体" w:cs="宋体"/>
                <w:bCs/>
                <w:color w:val="auto"/>
                <w:kern w:val="0"/>
                <w:szCs w:val="21"/>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color w:val="auto"/>
                <w:spacing w:val="4"/>
                <w:sz w:val="22"/>
                <w:szCs w:val="22"/>
                <w:highlight w:val="none"/>
                <w:u w:val="single" w:color="auto"/>
                <w:lang w:eastAsia="zh-CN"/>
              </w:rPr>
              <w:t>执行强制到案措施谈话场所建设项目</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 w:val="22"/>
                <w:szCs w:val="22"/>
                <w:highlight w:val="none"/>
              </w:rPr>
              <w:t>具体以比选人提供的工程量清单及图纸为准。</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14:paraId="2E5110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14:paraId="5B87FE2E">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以比选人要求为准</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14:paraId="2A83EF7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14:paraId="3529E49C">
            <w:pPr>
              <w:spacing w:before="127" w:line="356" w:lineRule="auto"/>
              <w:rPr>
                <w:rFonts w:hint="eastAsia" w:ascii="宋体" w:hAnsi="宋体" w:cs="宋体"/>
                <w:color w:val="auto"/>
                <w:szCs w:val="21"/>
                <w:highlight w:val="none"/>
              </w:rPr>
            </w:pPr>
            <w:r>
              <w:rPr>
                <w:rFonts w:ascii="宋体" w:hAnsi="宋体" w:eastAsia="宋体" w:cs="宋体"/>
                <w:color w:val="auto"/>
                <w:spacing w:val="-8"/>
                <w:sz w:val="21"/>
                <w:szCs w:val="21"/>
                <w:highlight w:val="none"/>
              </w:rPr>
              <w:t>符合强制</w:t>
            </w:r>
            <w:r>
              <w:rPr>
                <w:rFonts w:ascii="宋体" w:hAnsi="宋体" w:eastAsia="宋体" w:cs="宋体"/>
                <w:color w:val="auto"/>
                <w:spacing w:val="-6"/>
                <w:sz w:val="21"/>
                <w:szCs w:val="21"/>
                <w:highlight w:val="none"/>
              </w:rPr>
              <w:t>性</w:t>
            </w:r>
            <w:r>
              <w:rPr>
                <w:rFonts w:ascii="宋体" w:hAnsi="宋体" w:eastAsia="宋体" w:cs="宋体"/>
                <w:color w:val="auto"/>
                <w:spacing w:val="-4"/>
                <w:sz w:val="21"/>
                <w:szCs w:val="21"/>
                <w:highlight w:val="none"/>
              </w:rPr>
              <w:t>质量标准，</w:t>
            </w:r>
            <w:r>
              <w:rPr>
                <w:rFonts w:ascii="宋体" w:hAnsi="宋体" w:eastAsia="宋体" w:cs="宋体"/>
                <w:color w:val="auto"/>
                <w:spacing w:val="-4"/>
                <w:sz w:val="21"/>
                <w:szCs w:val="21"/>
                <w:highlight w:val="none"/>
                <w:u w:val="none" w:color="auto"/>
              </w:rPr>
              <w:t xml:space="preserve"> 符合国家和重庆市现行有关施工质量验收</w:t>
            </w:r>
            <w:r>
              <w:rPr>
                <w:rFonts w:ascii="宋体" w:hAnsi="宋体" w:eastAsia="宋体" w:cs="宋体"/>
                <w:color w:val="auto"/>
                <w:spacing w:val="-1"/>
                <w:sz w:val="21"/>
                <w:szCs w:val="21"/>
                <w:highlight w:val="none"/>
                <w:u w:val="none" w:color="auto"/>
              </w:rPr>
              <w:t>规范要求</w:t>
            </w:r>
            <w:r>
              <w:rPr>
                <w:rFonts w:ascii="宋体" w:hAnsi="宋体" w:eastAsia="宋体" w:cs="宋体"/>
                <w:color w:val="auto"/>
                <w:sz w:val="21"/>
                <w:szCs w:val="21"/>
                <w:highlight w:val="none"/>
                <w:u w:val="none" w:color="auto"/>
              </w:rPr>
              <w:t>，并达到合格标准。</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14:paraId="596FE011">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14:paraId="52EAEF69">
            <w:pPr>
              <w:snapToGrid w:val="0"/>
              <w:spacing w:line="420" w:lineRule="exact"/>
              <w:jc w:val="center"/>
              <w:rPr>
                <w:rFonts w:hint="eastAsia" w:ascii="宋体" w:hAnsi="宋体" w:cs="宋体"/>
                <w:color w:val="auto"/>
                <w:highlight w:val="none"/>
              </w:rPr>
            </w:pPr>
          </w:p>
        </w:tc>
        <w:tc>
          <w:tcPr>
            <w:tcW w:w="6662" w:type="dxa"/>
            <w:noWrap w:val="0"/>
            <w:vAlign w:val="center"/>
          </w:tcPr>
          <w:p w14:paraId="42D5B4B6">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14:paraId="10BC2229">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3CE3AD2">
            <w:pPr>
              <w:autoSpaceDE w:val="0"/>
              <w:autoSpaceDN w:val="0"/>
              <w:adjustRightInd w:val="0"/>
              <w:snapToGrid w:val="0"/>
              <w:spacing w:line="400" w:lineRule="exact"/>
              <w:ind w:firstLine="420" w:firstLineChars="200"/>
              <w:jc w:val="left"/>
              <w:rPr>
                <w:rFonts w:hint="eastAsia" w:eastAsia="宋体"/>
                <w:color w:val="auto"/>
                <w:highlight w:val="none"/>
                <w:lang w:eastAsia="zh-CN"/>
              </w:rPr>
            </w:pPr>
            <w:r>
              <w:rPr>
                <w:color w:val="auto"/>
                <w:highlight w:val="none"/>
              </w:rPr>
              <w:t>（1）</w:t>
            </w:r>
            <w:r>
              <w:rPr>
                <w:rFonts w:hint="eastAsia"/>
                <w:color w:val="auto"/>
                <w:highlight w:val="none"/>
              </w:rPr>
              <w:t>须具备建设行政主管部门颁发的</w:t>
            </w:r>
            <w:r>
              <w:rPr>
                <w:rFonts w:hint="eastAsia"/>
                <w:color w:val="auto"/>
                <w:highlight w:val="none"/>
                <w:lang w:eastAsia="zh-CN"/>
              </w:rPr>
              <w:t>施工劳务不分等级</w:t>
            </w:r>
          </w:p>
          <w:p w14:paraId="69B4306B">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14:paraId="329E50B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14:paraId="2AF8B161">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14:paraId="1EE983AA">
            <w:pPr>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rPr>
              <w:t>（3）具备建设行政主管部门颁发的有效的安全生产许可证</w:t>
            </w:r>
            <w:r>
              <w:rPr>
                <w:rFonts w:hint="eastAsia"/>
                <w:color w:val="auto"/>
                <w:highlight w:val="none"/>
                <w:lang w:eastAsia="zh-CN"/>
              </w:rPr>
              <w:t>。</w:t>
            </w:r>
          </w:p>
          <w:p w14:paraId="4BB92C10">
            <w:pPr>
              <w:numPr>
                <w:ilvl w:val="0"/>
                <w:numId w:val="2"/>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14:paraId="21EBCDCC">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1AABE6A5">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14:paraId="5B861069">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39E17BA0">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14:paraId="1B2F0C6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1BA61BBB">
            <w:pPr>
              <w:numPr>
                <w:ilvl w:val="0"/>
                <w:numId w:val="3"/>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14:paraId="4FF4F7D9">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14:paraId="3A768023">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w:t>
            </w:r>
            <w:r>
              <w:rPr>
                <w:rFonts w:hint="eastAsia"/>
                <w:color w:val="auto"/>
                <w:highlight w:val="none"/>
                <w:lang w:eastAsia="zh-CN"/>
              </w:rPr>
              <w:t>竞选资格</w:t>
            </w:r>
            <w:r>
              <w:rPr>
                <w:rFonts w:hint="eastAsia"/>
                <w:color w:val="auto"/>
                <w:highlight w:val="none"/>
              </w:rPr>
              <w:t>行政处罚，且在处罚期限内；</w:t>
            </w:r>
          </w:p>
          <w:p w14:paraId="55741BB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14:paraId="5654AEBF">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14:paraId="7E940FB7">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14:paraId="10E1C8FA">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14:paraId="5539AF4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14:paraId="0AAADFC3">
            <w:pPr>
              <w:spacing w:line="400" w:lineRule="exact"/>
              <w:ind w:firstLine="420" w:firstLineChars="200"/>
              <w:rPr>
                <w:color w:val="auto"/>
                <w:highlight w:val="none"/>
              </w:rPr>
            </w:pPr>
            <w:r>
              <w:rPr>
                <w:rFonts w:hint="eastAsia"/>
                <w:color w:val="auto"/>
                <w:highlight w:val="none"/>
              </w:rPr>
              <w:t>竞选人须在竞选文件资格审查部分提供承诺。</w:t>
            </w:r>
          </w:p>
          <w:p w14:paraId="7D66B95A">
            <w:pPr>
              <w:snapToGrid w:val="0"/>
              <w:spacing w:line="400" w:lineRule="exact"/>
              <w:ind w:firstLine="422" w:firstLineChars="200"/>
              <w:jc w:val="left"/>
              <w:rPr>
                <w:rFonts w:hint="default" w:ascii="宋体" w:hAnsi="宋体" w:eastAsia="宋体"/>
                <w:b/>
                <w:color w:val="auto"/>
                <w:szCs w:val="21"/>
                <w:highlight w:val="none"/>
                <w:lang w:val="en-US" w:eastAsia="zh-CN"/>
              </w:rPr>
            </w:pPr>
            <w:r>
              <w:rPr>
                <w:rFonts w:hint="eastAsia" w:ascii="宋体" w:hAnsi="宋体"/>
                <w:b/>
                <w:color w:val="auto"/>
                <w:szCs w:val="21"/>
                <w:highlight w:val="none"/>
              </w:rPr>
              <w:t>5.</w:t>
            </w:r>
            <w:r>
              <w:rPr>
                <w:rFonts w:hint="eastAsia" w:ascii="宋体" w:hAnsi="宋体"/>
                <w:b/>
                <w:color w:val="auto"/>
                <w:szCs w:val="21"/>
                <w:highlight w:val="none"/>
                <w:lang w:val="en-US" w:eastAsia="zh-CN"/>
              </w:rPr>
              <w:t>项目主要负责人</w:t>
            </w:r>
          </w:p>
          <w:p w14:paraId="125719BE">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（1）项目主要负责人资格要求</w:t>
            </w:r>
          </w:p>
          <w:p w14:paraId="4CC47528">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应具有安全生产考核合格证书 A 证；</w:t>
            </w:r>
          </w:p>
          <w:p w14:paraId="569DF759">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（提供复印件、身份证并提供到岗履职承诺））</w:t>
            </w:r>
          </w:p>
          <w:p w14:paraId="637D5FCA">
            <w:pPr>
              <w:autoSpaceDE w:val="0"/>
              <w:autoSpaceDN w:val="0"/>
              <w:adjustRightInd w:val="0"/>
              <w:spacing w:line="400" w:lineRule="exact"/>
              <w:ind w:firstLine="420" w:firstLineChars="20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2）主要管理人员</w:t>
            </w:r>
          </w:p>
          <w:p w14:paraId="5C4EBC18">
            <w:pPr>
              <w:autoSpaceDE w:val="0"/>
              <w:autoSpaceDN w:val="0"/>
              <w:adjustRightInd w:val="0"/>
              <w:spacing w:line="400" w:lineRule="exact"/>
              <w:ind w:firstLine="420" w:firstLineChars="200"/>
              <w:rPr>
                <w:color w:val="auto"/>
                <w:highlight w:val="none"/>
              </w:rPr>
            </w:pPr>
            <w:r>
              <w:rPr>
                <w:rFonts w:hint="eastAsia"/>
                <w:color w:val="auto"/>
                <w:highlight w:val="none"/>
              </w:rPr>
              <w:t>竞选人自行承诺</w:t>
            </w:r>
            <w:r>
              <w:rPr>
                <w:rFonts w:hint="eastAsia"/>
                <w:color w:val="auto"/>
                <w:highlight w:val="none"/>
                <w:lang w:eastAsia="zh-CN"/>
              </w:rPr>
              <w:t>中选后</w:t>
            </w:r>
            <w:r>
              <w:rPr>
                <w:rFonts w:hint="eastAsia"/>
                <w:color w:val="auto"/>
                <w:highlight w:val="none"/>
              </w:rPr>
              <w:t>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w:t>
            </w:r>
            <w:r>
              <w:rPr>
                <w:rFonts w:hint="eastAsia"/>
                <w:color w:val="auto"/>
                <w:highlight w:val="none"/>
                <w:lang w:eastAsia="zh-CN"/>
              </w:rPr>
              <w:t>中选后</w:t>
            </w:r>
            <w:r>
              <w:rPr>
                <w:rFonts w:hint="eastAsia"/>
                <w:color w:val="auto"/>
                <w:highlight w:val="none"/>
              </w:rPr>
              <w:t>不能满足该要求的，取消其</w:t>
            </w:r>
            <w:r>
              <w:rPr>
                <w:rFonts w:hint="eastAsia"/>
                <w:color w:val="auto"/>
                <w:highlight w:val="none"/>
                <w:lang w:eastAsia="zh-CN"/>
              </w:rPr>
              <w:t>中选资格</w:t>
            </w:r>
            <w:r>
              <w:rPr>
                <w:rFonts w:hint="eastAsia"/>
                <w:color w:val="auto"/>
                <w:highlight w:val="none"/>
              </w:rPr>
              <w:t>，给比选人造成损失的，竞选人依法承担违约赔偿责任。</w:t>
            </w:r>
          </w:p>
          <w:p w14:paraId="56126375">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14:paraId="480F3367">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14:paraId="10BF4301">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14:paraId="6C1E2A10">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14:paraId="3598DB48">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w:t>
            </w:r>
            <w:r>
              <w:rPr>
                <w:rFonts w:hint="eastAsia"/>
                <w:color w:val="auto"/>
                <w:highlight w:val="none"/>
                <w:lang w:eastAsia="zh-CN"/>
              </w:rPr>
              <w:t>评审小组</w:t>
            </w:r>
            <w:r>
              <w:rPr>
                <w:rFonts w:hint="eastAsia"/>
                <w:color w:val="auto"/>
                <w:highlight w:val="none"/>
              </w:rPr>
              <w:t>作否决投标处理。竞选文件中对养老保险的要求为：</w:t>
            </w:r>
            <w:r>
              <w:rPr>
                <w:rFonts w:hint="eastAsia"/>
                <w:color w:val="auto"/>
                <w:highlight w:val="none"/>
                <w:lang w:val="en-US" w:eastAsia="zh-CN"/>
              </w:rPr>
              <w:t>所有人员</w:t>
            </w:r>
            <w:r>
              <w:rPr>
                <w:rFonts w:hint="eastAsia"/>
                <w:color w:val="auto"/>
                <w:highlight w:val="none"/>
              </w:rPr>
              <w:t>养老保险证明期限为202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月2025年6月</w:t>
            </w:r>
            <w:r>
              <w:rPr>
                <w:rFonts w:hint="eastAsia"/>
                <w:color w:val="auto"/>
                <w:highlight w:val="none"/>
              </w:rPr>
              <w:t>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14:paraId="3FAE344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w:t>
            </w:r>
            <w:r>
              <w:rPr>
                <w:rFonts w:hint="eastAsia"/>
                <w:color w:val="auto"/>
                <w:highlight w:val="none"/>
                <w:lang w:val="en-US" w:eastAsia="zh-CN"/>
              </w:rPr>
              <w:t>评审</w:t>
            </w:r>
            <w:r>
              <w:rPr>
                <w:rFonts w:hint="eastAsia"/>
                <w:color w:val="auto"/>
                <w:highlight w:val="none"/>
              </w:rPr>
              <w:t>及比选有效期内均有权对竞选人提供的以上资料（证明和证件的原件或复印件）进行核实，若发现资料存在虚假不实，按照相关法律法规处理，竞选人承担因此造成的相关责任并赔偿相应损失。</w:t>
            </w:r>
          </w:p>
          <w:p w14:paraId="7F48AB50">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w:t>
            </w:r>
            <w:r>
              <w:rPr>
                <w:rFonts w:hint="eastAsia"/>
                <w:color w:val="auto"/>
                <w:highlight w:val="none"/>
                <w:lang w:eastAsia="zh-CN"/>
              </w:rPr>
              <w:t>评审小组</w:t>
            </w:r>
            <w:r>
              <w:rPr>
                <w:rFonts w:hint="eastAsia"/>
                <w:color w:val="auto"/>
                <w:highlight w:val="none"/>
              </w:rPr>
              <w:t>评审。</w:t>
            </w:r>
          </w:p>
          <w:p w14:paraId="1412367C">
            <w:pPr>
              <w:pStyle w:val="8"/>
              <w:ind w:firstLine="420" w:firstLineChars="200"/>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2025年3月月2025年6月的社保证明（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14:paraId="1DD1DE2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14:paraId="5F5BD318">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14:paraId="45D24C9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14:paraId="71CA515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rPr>
              <w:t>日</w:t>
            </w:r>
            <w:r>
              <w:rPr>
                <w:rFonts w:hint="eastAsia" w:ascii="宋体" w:hAnsi="宋体" w:cs="宋体"/>
                <w:color w:val="auto"/>
                <w:szCs w:val="21"/>
                <w:highlight w:val="none"/>
                <w:u w:val="single"/>
              </w:rPr>
              <w:t>12：00</w:t>
            </w:r>
            <w:r>
              <w:rPr>
                <w:rFonts w:hint="eastAsia" w:ascii="宋体" w:hAnsi="宋体" w:cs="宋体"/>
                <w:color w:val="auto"/>
                <w:szCs w:val="21"/>
                <w:highlight w:val="none"/>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14:paraId="4538F25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14:paraId="3FA9A308">
            <w:pPr>
              <w:snapToGrid w:val="0"/>
              <w:spacing w:line="420" w:lineRule="exact"/>
              <w:ind w:left="210" w:leftChars="0" w:hanging="210" w:hangingChars="100"/>
              <w:rPr>
                <w:rFonts w:ascii="宋体" w:hAnsi="宋体" w:cs="宋体"/>
                <w:color w:val="auto"/>
                <w:szCs w:val="21"/>
                <w:highlight w:val="none"/>
              </w:rPr>
            </w:pPr>
            <w:r>
              <w:rPr>
                <w:rFonts w:hint="eastAsia" w:ascii="宋体" w:hAnsi="宋体" w:cs="宋体"/>
                <w:color w:val="auto"/>
                <w:szCs w:val="21"/>
                <w:highlight w:val="none"/>
              </w:rPr>
              <w:t xml:space="preserve"> 如比选人有必要对比选文件内容进行澄清的，将在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14:paraId="5C847B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14:paraId="0928A7EB">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14:paraId="2362176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14:paraId="12B6C7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14:paraId="605E8F63">
            <w:pPr>
              <w:widowControl/>
              <w:numPr>
                <w:ilvl w:val="0"/>
                <w:numId w:val="4"/>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14:paraId="31585C94">
            <w:pPr>
              <w:widowControl/>
              <w:numPr>
                <w:ilvl w:val="0"/>
                <w:numId w:val="0"/>
              </w:numPr>
              <w:spacing w:line="360" w:lineRule="auto"/>
              <w:ind w:firstLine="210" w:firstLineChars="1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5FF6F115">
            <w:pPr>
              <w:widowControl/>
              <w:spacing w:line="360" w:lineRule="auto"/>
              <w:ind w:firstLine="210" w:firstLineChars="1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eastAsia="zh-CN"/>
              </w:rPr>
              <w:t>。</w:t>
            </w:r>
          </w:p>
          <w:p w14:paraId="749A038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(3)本工程所需材料 </w:t>
            </w:r>
            <w:r>
              <w:rPr>
                <w:rFonts w:hint="eastAsia" w:ascii="宋体" w:hAnsi="宋体" w:eastAsia="宋体" w:cs="宋体"/>
                <w:bCs/>
                <w:color w:val="auto"/>
                <w:kern w:val="0"/>
                <w:szCs w:val="21"/>
                <w:highlight w:val="none"/>
                <w:lang w:val="en-US" w:eastAsia="zh-CN"/>
              </w:rPr>
              <w:t>（</w:t>
            </w:r>
            <w:r>
              <w:rPr>
                <w:rFonts w:hint="eastAsia" w:ascii="宋体" w:hAnsi="宋体" w:cs="宋体"/>
                <w:color w:val="auto"/>
                <w:kern w:val="0"/>
                <w:szCs w:val="21"/>
                <w:highlight w:val="none"/>
                <w:lang w:val="en-US" w:eastAsia="zh-CN"/>
              </w:rPr>
              <w:t>主材除外）</w:t>
            </w:r>
            <w:r>
              <w:rPr>
                <w:rFonts w:hint="eastAsia" w:ascii="Times New Roman" w:hAnsi="Times New Roman" w:eastAsia="宋体" w:cs="Times New Roman"/>
                <w:color w:val="auto"/>
                <w:highlight w:val="none"/>
                <w:lang w:eastAsia="zh-CN"/>
              </w:rPr>
              <w:t>的劳务及辅助材料价格由</w:t>
            </w:r>
            <w:r>
              <w:rPr>
                <w:rFonts w:hint="eastAsia" w:cs="Times New Roman"/>
                <w:color w:val="auto"/>
                <w:highlight w:val="none"/>
                <w:lang w:eastAsia="zh-CN"/>
              </w:rPr>
              <w:t>竞选人</w:t>
            </w:r>
            <w:r>
              <w:rPr>
                <w:rFonts w:hint="eastAsia" w:ascii="Times New Roman" w:hAnsi="Times New Roman" w:eastAsia="宋体" w:cs="Times New Roman"/>
                <w:color w:val="auto"/>
                <w:highlight w:val="none"/>
                <w:lang w:eastAsia="zh-CN"/>
              </w:rPr>
              <w:t>参照重庆市建设工程造价管理总站发布的《重庆工程造价信息》或工程造价管理机构发布的工程造价信息(造价信息引用时限为招标公告发布日期前一期)，并结合市场行情及自身实力进行自主报价。</w:t>
            </w:r>
          </w:p>
          <w:p w14:paraId="26C7DFA1">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(4)本工程所采用技术、工艺和产品等必须执行重庆市住房和城乡建设委员会关于发布《重庆市建设领域禁止、限制使用落后技术通告(2019年版)(渝建发[2019]25号)的规定。</w:t>
            </w:r>
          </w:p>
          <w:p w14:paraId="04AE2CC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14:paraId="60432293">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2、本工程最高限价为人民币</w:t>
            </w:r>
            <w:r>
              <w:rPr>
                <w:rFonts w:hint="eastAsia" w:ascii="Times New Roman" w:hAnsi="Times New Roman"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155858.95</w:t>
            </w:r>
            <w:r>
              <w:rPr>
                <w:rFonts w:hint="eastAsia" w:ascii="Times New Roman" w:hAnsi="Times New Roman" w:eastAsia="宋体" w:cs="Times New Roman"/>
                <w:color w:val="auto"/>
                <w:kern w:val="2"/>
                <w:sz w:val="21"/>
                <w:szCs w:val="24"/>
                <w:highlight w:val="none"/>
                <w:lang w:val="en-US" w:eastAsia="zh-CN" w:bidi="ar-SA"/>
              </w:rPr>
              <w:t xml:space="preserve">元 </w:t>
            </w: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壹拾伍万伍仟捌佰伍拾捌元玖角伍分</w:t>
            </w:r>
            <w:r>
              <w:rPr>
                <w:rFonts w:hint="eastAsia"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cs="Times New Roman"/>
                <w:color w:val="auto"/>
                <w:kern w:val="2"/>
                <w:sz w:val="21"/>
                <w:szCs w:val="24"/>
                <w:highlight w:val="none"/>
                <w:lang w:val="en-US" w:eastAsia="zh-CN" w:bidi="ar-SA"/>
              </w:rPr>
              <w:t>，其中安全文明施工费为：</w:t>
            </w:r>
            <w:r>
              <w:rPr>
                <w:rFonts w:hint="eastAsia" w:cs="Times New Roman"/>
                <w:b/>
                <w:bCs/>
                <w:color w:val="auto"/>
                <w:kern w:val="2"/>
                <w:sz w:val="21"/>
                <w:szCs w:val="24"/>
                <w:highlight w:val="none"/>
                <w:lang w:val="en-US" w:eastAsia="zh-CN" w:bidi="ar-SA"/>
              </w:rPr>
              <w:t>7168.21</w:t>
            </w:r>
            <w:r>
              <w:rPr>
                <w:rFonts w:hint="eastAsia" w:ascii="Times New Roman" w:hAnsi="Times New Roman" w:cs="Times New Roman"/>
                <w:color w:val="auto"/>
                <w:kern w:val="2"/>
                <w:sz w:val="21"/>
                <w:szCs w:val="24"/>
                <w:highlight w:val="none"/>
                <w:lang w:val="en-US" w:eastAsia="zh-CN" w:bidi="ar-SA"/>
              </w:rPr>
              <w:t>元</w:t>
            </w: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竞选人</w:t>
            </w:r>
            <w:r>
              <w:rPr>
                <w:rFonts w:hint="eastAsia" w:ascii="Times New Roman" w:hAnsi="Times New Roman" w:eastAsia="宋体" w:cs="Times New Roman"/>
                <w:color w:val="auto"/>
                <w:kern w:val="2"/>
                <w:sz w:val="21"/>
                <w:szCs w:val="24"/>
                <w:highlight w:val="none"/>
                <w:lang w:val="en-US" w:eastAsia="zh-CN" w:bidi="ar-SA"/>
              </w:rPr>
              <w:t>的投标报价不得高于最高限价，否则</w:t>
            </w:r>
            <w:r>
              <w:rPr>
                <w:rFonts w:hint="eastAsia" w:cs="Times New Roman"/>
                <w:color w:val="auto"/>
                <w:kern w:val="2"/>
                <w:sz w:val="21"/>
                <w:szCs w:val="24"/>
                <w:highlight w:val="none"/>
                <w:lang w:val="en-US" w:eastAsia="zh-CN" w:bidi="ar-SA"/>
              </w:rPr>
              <w:t>竞选文件</w:t>
            </w:r>
            <w:r>
              <w:rPr>
                <w:rFonts w:hint="eastAsia" w:ascii="Times New Roman" w:hAnsi="Times New Roman" w:eastAsia="宋体" w:cs="Times New Roman"/>
                <w:color w:val="auto"/>
                <w:kern w:val="2"/>
                <w:sz w:val="21"/>
                <w:szCs w:val="24"/>
                <w:highlight w:val="none"/>
                <w:lang w:val="en-US" w:eastAsia="zh-CN" w:bidi="ar-SA"/>
              </w:rPr>
              <w:t>作否决投标处理。</w:t>
            </w:r>
          </w:p>
          <w:p w14:paraId="5BDBAD9A">
            <w:pPr>
              <w:spacing w:before="2" w:line="433" w:lineRule="auto"/>
              <w:ind w:left="110" w:right="109" w:firstLine="436" w:firstLineChars="207"/>
              <w:jc w:val="left"/>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注：农民工工资由比选人全额代付。</w:t>
            </w:r>
          </w:p>
          <w:p w14:paraId="2F9F05DB">
            <w:pPr>
              <w:spacing w:line="480" w:lineRule="exact"/>
              <w:ind w:firstLine="420"/>
              <w:rPr>
                <w:rFonts w:hint="eastAsia"/>
                <w:color w:val="auto"/>
                <w:highlight w:val="none"/>
              </w:rPr>
            </w:pPr>
            <w:r>
              <w:rPr>
                <w:rFonts w:hint="eastAsia"/>
                <w:color w:val="auto"/>
                <w:highlight w:val="none"/>
                <w:lang w:eastAsia="zh-CN"/>
              </w:rPr>
              <w:t>竞选人</w:t>
            </w:r>
            <w:r>
              <w:rPr>
                <w:rFonts w:hint="eastAsia"/>
                <w:color w:val="auto"/>
                <w:highlight w:val="none"/>
              </w:rPr>
              <w:t>应将本工程的相关费用充分考虑进入投标报价中，除中标价外，招标人不另行支付本工程相关的其他一切任何费用。</w:t>
            </w:r>
          </w:p>
          <w:p w14:paraId="69460D4C">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14:paraId="466009EB">
            <w:pPr>
              <w:widowControl/>
              <w:spacing w:line="360" w:lineRule="auto"/>
              <w:ind w:firstLine="420" w:firstLineChars="200"/>
              <w:textAlignment w:val="baseline"/>
              <w:rPr>
                <w:rFonts w:hint="eastAsia" w:eastAsia="宋体"/>
                <w:color w:val="auto"/>
                <w:highlight w:val="none"/>
                <w:lang w:eastAsia="zh-CN"/>
              </w:rPr>
            </w:pPr>
            <w:r>
              <w:rPr>
                <w:rFonts w:hint="eastAsia"/>
                <w:color w:val="auto"/>
                <w:highlight w:val="none"/>
                <w:lang w:val="en-US" w:eastAsia="zh-CN"/>
              </w:rPr>
              <w:t>工程施工完工验收合格后，结算</w:t>
            </w:r>
            <w:r>
              <w:rPr>
                <w:rFonts w:hint="eastAsia"/>
                <w:b w:val="0"/>
                <w:bCs w:val="0"/>
                <w:color w:val="auto"/>
                <w:highlight w:val="none"/>
              </w:rPr>
              <w:t>以</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b w:val="0"/>
                <w:bCs w:val="0"/>
                <w:color w:val="auto"/>
                <w:highlight w:val="none"/>
              </w:rPr>
              <w:t>编制</w:t>
            </w:r>
            <w:r>
              <w:rPr>
                <w:rFonts w:hint="eastAsia"/>
                <w:b w:val="0"/>
                <w:bCs w:val="0"/>
                <w:color w:val="auto"/>
                <w:highlight w:val="none"/>
                <w:lang w:eastAsia="zh-CN"/>
              </w:rPr>
              <w:t>的</w:t>
            </w:r>
            <w:r>
              <w:rPr>
                <w:rFonts w:hint="eastAsia"/>
                <w:b w:val="0"/>
                <w:bCs w:val="0"/>
                <w:color w:val="auto"/>
                <w:highlight w:val="none"/>
                <w:lang w:val="en-US" w:eastAsia="zh-CN"/>
              </w:rPr>
              <w:t>完工结算</w:t>
            </w:r>
            <w:r>
              <w:rPr>
                <w:rFonts w:hint="eastAsia"/>
                <w:b w:val="0"/>
                <w:bCs w:val="0"/>
                <w:color w:val="auto"/>
                <w:highlight w:val="none"/>
              </w:rPr>
              <w:t>总价为基数</w:t>
            </w:r>
            <w:r>
              <w:rPr>
                <w:rFonts w:hint="eastAsia"/>
                <w:b w:val="0"/>
                <w:bCs w:val="0"/>
                <w:color w:val="auto"/>
                <w:highlight w:val="none"/>
                <w:lang w:eastAsia="zh-CN"/>
              </w:rPr>
              <w:t>。</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14:paraId="2E4EECED">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14:paraId="07AFFC2D">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14:paraId="45D9B6A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应足额交纳</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auto"/>
                <w:sz w:val="21"/>
                <w:szCs w:val="21"/>
                <w:highlight w:val="none"/>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lang w:val="en-US" w:eastAsia="zh-CN"/>
              </w:rPr>
              <w:t>时同时递交</w:t>
            </w:r>
            <w:r>
              <w:rPr>
                <w:rFonts w:hint="eastAsia" w:ascii="宋体" w:hAnsi="宋体" w:eastAsia="宋体" w:cs="宋体"/>
                <w:color w:val="auto"/>
                <w:sz w:val="21"/>
                <w:szCs w:val="21"/>
                <w:highlight w:val="none"/>
              </w:rPr>
              <w:t>，才具备</w:t>
            </w:r>
            <w:r>
              <w:rPr>
                <w:rFonts w:hint="eastAsia" w:ascii="宋体" w:hAnsi="宋体" w:cs="宋体"/>
                <w:color w:val="auto"/>
                <w:sz w:val="21"/>
                <w:szCs w:val="21"/>
                <w:highlight w:val="none"/>
                <w:lang w:eastAsia="zh-CN"/>
              </w:rPr>
              <w:t>竞选资格</w:t>
            </w:r>
            <w:r>
              <w:rPr>
                <w:rFonts w:hint="eastAsia" w:ascii="宋体" w:hAnsi="宋体" w:eastAsia="宋体" w:cs="宋体"/>
                <w:color w:val="auto"/>
                <w:sz w:val="21"/>
                <w:szCs w:val="21"/>
                <w:highlight w:val="none"/>
              </w:rPr>
              <w:t>。</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的有效期限在</w:t>
            </w:r>
            <w:r>
              <w:rPr>
                <w:rFonts w:hint="eastAsia" w:ascii="宋体" w:hAnsi="宋体" w:cs="宋体"/>
                <w:color w:val="auto"/>
                <w:sz w:val="21"/>
                <w:szCs w:val="21"/>
                <w:highlight w:val="none"/>
                <w:lang w:eastAsia="zh-CN"/>
              </w:rPr>
              <w:t>竞选文件</w:t>
            </w:r>
            <w:r>
              <w:rPr>
                <w:rFonts w:hint="eastAsia" w:ascii="宋体" w:hAnsi="宋体" w:eastAsia="宋体" w:cs="宋体"/>
                <w:color w:val="auto"/>
                <w:sz w:val="21"/>
                <w:szCs w:val="21"/>
                <w:highlight w:val="none"/>
              </w:rPr>
              <w:t>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cs="宋体"/>
                <w:b/>
                <w:color w:val="auto"/>
                <w:sz w:val="21"/>
                <w:szCs w:val="21"/>
                <w:highlight w:val="none"/>
                <w:lang w:val="en-US" w:eastAsia="zh-CN"/>
              </w:rPr>
              <w:t>竞选保证金</w:t>
            </w:r>
            <w:r>
              <w:rPr>
                <w:rFonts w:hint="eastAsia" w:ascii="宋体" w:hAnsi="宋体" w:eastAsia="宋体" w:cs="宋体"/>
                <w:b/>
                <w:color w:val="auto"/>
                <w:sz w:val="21"/>
                <w:szCs w:val="21"/>
                <w:highlight w:val="none"/>
              </w:rPr>
              <w:t>的，其</w:t>
            </w:r>
            <w:r>
              <w:rPr>
                <w:rFonts w:hint="eastAsia" w:ascii="宋体" w:hAnsi="宋体" w:cs="宋体"/>
                <w:b/>
                <w:color w:val="auto"/>
                <w:sz w:val="21"/>
                <w:szCs w:val="21"/>
                <w:highlight w:val="none"/>
                <w:lang w:eastAsia="zh-CN"/>
              </w:rPr>
              <w:t>竞选文件</w:t>
            </w:r>
            <w:r>
              <w:rPr>
                <w:rFonts w:hint="eastAsia" w:ascii="宋体" w:hAnsi="宋体" w:eastAsia="宋体" w:cs="宋体"/>
                <w:b/>
                <w:color w:val="auto"/>
                <w:sz w:val="21"/>
                <w:szCs w:val="21"/>
                <w:highlight w:val="none"/>
              </w:rPr>
              <w:t>将被拒收。</w:t>
            </w:r>
          </w:p>
          <w:p w14:paraId="5B86FA9F">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的退还方式：</w:t>
            </w:r>
          </w:p>
          <w:p w14:paraId="39E8AF22">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以外的</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退还</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w:t>
            </w:r>
          </w:p>
          <w:p w14:paraId="21E9209F">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合同签订后五个工作日内，退还</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竞选保证金</w:t>
            </w:r>
            <w:r>
              <w:rPr>
                <w:rFonts w:hint="eastAsia" w:ascii="宋体" w:hAnsi="宋体" w:eastAsia="宋体" w:cs="宋体"/>
                <w:color w:val="auto"/>
                <w:sz w:val="21"/>
                <w:szCs w:val="21"/>
                <w:highlight w:val="none"/>
              </w:rPr>
              <w:t>。</w:t>
            </w:r>
          </w:p>
          <w:p w14:paraId="67DFBE4B">
            <w:pPr>
              <w:spacing w:line="360" w:lineRule="exact"/>
              <w:ind w:firstLine="210" w:firstLineChars="1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5807C79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14:paraId="6A4FE29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14:paraId="37011120">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14:paraId="20AE96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14:paraId="5C58B01B">
            <w:pPr>
              <w:jc w:val="both"/>
              <w:rPr>
                <w:rFonts w:hint="eastAsia"/>
                <w:color w:val="auto"/>
                <w:highlight w:val="none"/>
              </w:rPr>
            </w:pPr>
            <w:r>
              <w:rPr>
                <w:rFonts w:hint="eastAsia"/>
                <w:color w:val="auto"/>
                <w:highlight w:val="none"/>
              </w:rPr>
              <w:t>1、竞选函部分：正本一份，副本一份；</w:t>
            </w:r>
          </w:p>
          <w:p w14:paraId="3AC91F7F">
            <w:pPr>
              <w:jc w:val="both"/>
              <w:rPr>
                <w:rFonts w:hint="eastAsia"/>
                <w:color w:val="auto"/>
                <w:highlight w:val="none"/>
              </w:rPr>
            </w:pPr>
            <w:r>
              <w:rPr>
                <w:rFonts w:hint="eastAsia"/>
                <w:color w:val="auto"/>
                <w:highlight w:val="none"/>
              </w:rPr>
              <w:t>2、资格审查资料：正本一份，副本一份；</w:t>
            </w:r>
          </w:p>
          <w:p w14:paraId="185B90FA">
            <w:pPr>
              <w:jc w:val="both"/>
              <w:rPr>
                <w:rFonts w:hint="eastAsia"/>
                <w:color w:val="auto"/>
                <w:highlight w:val="none"/>
              </w:rPr>
            </w:pPr>
            <w:r>
              <w:rPr>
                <w:rFonts w:hint="eastAsia"/>
                <w:color w:val="auto"/>
                <w:highlight w:val="none"/>
              </w:rPr>
              <w:t>3、经济部分：正本一份，副本一份；</w:t>
            </w:r>
          </w:p>
          <w:p w14:paraId="68CB95B0">
            <w:pPr>
              <w:jc w:val="both"/>
              <w:rPr>
                <w:rFonts w:hint="eastAsia"/>
                <w:color w:val="auto"/>
                <w:highlight w:val="none"/>
              </w:rPr>
            </w:pPr>
            <w:r>
              <w:rPr>
                <w:rFonts w:hint="eastAsia"/>
                <w:color w:val="auto"/>
                <w:highlight w:val="none"/>
              </w:rPr>
              <w:t>4、电子版形式：U 盘 1 份，不分正副本。</w:t>
            </w:r>
          </w:p>
          <w:p w14:paraId="2923B3F1">
            <w:pPr>
              <w:jc w:val="both"/>
              <w:rPr>
                <w:rFonts w:hint="eastAsia"/>
                <w:color w:val="auto"/>
                <w:highlight w:val="none"/>
              </w:rPr>
            </w:pPr>
            <w:r>
              <w:rPr>
                <w:rFonts w:hint="eastAsia"/>
                <w:color w:val="auto"/>
                <w:highlight w:val="none"/>
              </w:rPr>
              <w:t>注：(1)U 盘需装入所有</w:t>
            </w:r>
            <w:r>
              <w:rPr>
                <w:rFonts w:hint="eastAsia"/>
                <w:color w:val="auto"/>
                <w:highlight w:val="none"/>
                <w:lang w:eastAsia="zh-CN"/>
              </w:rPr>
              <w:t>竞选文件</w:t>
            </w:r>
            <w:r>
              <w:rPr>
                <w:rFonts w:hint="eastAsia"/>
                <w:color w:val="auto"/>
                <w:highlight w:val="none"/>
              </w:rPr>
              <w:t>。</w:t>
            </w:r>
          </w:p>
          <w:p w14:paraId="5E0413A1">
            <w:pPr>
              <w:jc w:val="both"/>
              <w:rPr>
                <w:rFonts w:hint="eastAsia"/>
                <w:color w:val="auto"/>
                <w:highlight w:val="none"/>
              </w:rPr>
            </w:pPr>
            <w:r>
              <w:rPr>
                <w:rFonts w:hint="eastAsia"/>
                <w:color w:val="auto"/>
                <w:highlight w:val="none"/>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14:paraId="7A5516AD">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14:paraId="4C920CB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14:paraId="743233A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14:paraId="48DDC9C4">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14:paraId="7F4E4A30">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14:paraId="782707F1">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14:paraId="547535EF">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14:paraId="6748BEFB">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14:paraId="7B436098">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14:paraId="3DFE00C0">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14:paraId="7D92D38D">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14:paraId="748B29D0">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14:paraId="3C3413C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14:paraId="7954749B">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02836994">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14:paraId="0C68B3F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14:paraId="7BD08FC7">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14:paraId="56B0F75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竞选文件递交时间</w:t>
            </w:r>
          </w:p>
        </w:tc>
        <w:tc>
          <w:tcPr>
            <w:tcW w:w="6662" w:type="dxa"/>
            <w:noWrap w:val="0"/>
            <w:vAlign w:val="center"/>
          </w:tcPr>
          <w:p w14:paraId="15250BFF">
            <w:pPr>
              <w:adjustRightInd w:val="0"/>
              <w:snapToGrid w:val="0"/>
              <w:spacing w:line="420" w:lineRule="exact"/>
              <w:rPr>
                <w:rFonts w:hint="eastAsia" w:ascii="宋体" w:hAnsi="宋体"/>
                <w:color w:val="auto"/>
                <w:szCs w:val="21"/>
                <w:highlight w:val="none"/>
                <w:u w:val="single"/>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31</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14:paraId="4251448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14:paraId="087EF24B">
            <w:pPr>
              <w:adjustRightInd w:val="0"/>
              <w:snapToGrid w:val="0"/>
              <w:spacing w:line="420" w:lineRule="exact"/>
              <w:rPr>
                <w:rFonts w:ascii="宋体" w:hAnsi="宋体" w:cs="宋体"/>
                <w:bCs/>
                <w:color w:val="auto"/>
                <w:kern w:val="0"/>
                <w:szCs w:val="21"/>
                <w:highlight w:val="none"/>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14:paraId="610792E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14:paraId="1A55456F">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14:paraId="148F28B0">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14:paraId="024BB4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31</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14</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14:paraId="49F59E20">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14:paraId="275691EA">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14:paraId="7156F907">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w:t>
            </w:r>
            <w:r>
              <w:rPr>
                <w:rFonts w:hint="eastAsia" w:ascii="宋体" w:hAnsi="宋体"/>
                <w:color w:val="auto"/>
                <w:szCs w:val="21"/>
                <w:highlight w:val="none"/>
                <w:lang w:eastAsia="zh-CN"/>
              </w:rPr>
              <w:t>评审小组</w:t>
            </w:r>
            <w:r>
              <w:rPr>
                <w:rFonts w:hint="eastAsia" w:ascii="宋体" w:hAnsi="宋体"/>
                <w:color w:val="auto"/>
                <w:szCs w:val="21"/>
                <w:highlight w:val="none"/>
              </w:rPr>
              <w:t>。</w:t>
            </w:r>
          </w:p>
          <w:p w14:paraId="3F360B9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w:t>
            </w:r>
            <w:r>
              <w:rPr>
                <w:rFonts w:hint="eastAsia" w:ascii="宋体" w:hAnsi="宋体"/>
                <w:color w:val="auto"/>
                <w:szCs w:val="21"/>
                <w:highlight w:val="none"/>
                <w:lang w:eastAsia="zh-CN"/>
              </w:rPr>
              <w:t>评审小组</w:t>
            </w:r>
            <w:r>
              <w:rPr>
                <w:rFonts w:hint="eastAsia" w:ascii="宋体" w:hAnsi="宋体"/>
                <w:color w:val="auto"/>
                <w:szCs w:val="21"/>
                <w:highlight w:val="none"/>
              </w:rPr>
              <w:t>评审。</w:t>
            </w:r>
          </w:p>
          <w:p w14:paraId="400C148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14:paraId="6AF1B13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评审小组</w:t>
            </w:r>
            <w:r>
              <w:rPr>
                <w:rFonts w:hint="eastAsia" w:ascii="宋体" w:hAnsi="宋体" w:cs="宋体"/>
                <w:color w:val="auto"/>
                <w:kern w:val="0"/>
                <w:szCs w:val="21"/>
                <w:highlight w:val="none"/>
              </w:rPr>
              <w:t>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14:paraId="541015FF">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14:paraId="43D02842">
            <w:pPr>
              <w:snapToGrid w:val="0"/>
              <w:spacing w:line="4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是否授权</w:t>
            </w:r>
            <w:r>
              <w:rPr>
                <w:rFonts w:hint="eastAsia" w:ascii="宋体" w:hAnsi="宋体" w:cs="宋体"/>
                <w:color w:val="auto"/>
                <w:kern w:val="0"/>
                <w:szCs w:val="21"/>
                <w:highlight w:val="none"/>
                <w:lang w:eastAsia="zh-CN"/>
              </w:rPr>
              <w:t>评审小组</w:t>
            </w:r>
          </w:p>
          <w:p w14:paraId="3DFA3DF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 按第三章比选办法的规定推荐 1-3 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14:paraId="0A19B3DB">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14:paraId="768EACA6">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14:paraId="754EE48A">
            <w:pPr>
              <w:pStyle w:val="8"/>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 号文件规定的收费标准。竞选人在报价时自行将此费用考</w:t>
            </w:r>
            <w:r>
              <w:rPr>
                <w:rFonts w:hint="eastAsia"/>
                <w:color w:val="auto"/>
                <w:sz w:val="21"/>
                <w:highlight w:val="none"/>
                <w:lang w:val="en-US" w:eastAsia="zh-CN"/>
              </w:rPr>
              <w:t>虑在投标报价中，中选后比选人不得向中选人支付此笔费用。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14:paraId="5001C04F">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auto"/>
                <w:kern w:val="0"/>
                <w:szCs w:val="21"/>
                <w:highlight w:val="none"/>
              </w:rPr>
            </w:pPr>
            <w:r>
              <w:rPr>
                <w:rFonts w:hint="eastAsia" w:ascii="宋体" w:hAnsi="宋体" w:eastAsia="宋体" w:cs="Times New Roman"/>
                <w:color w:val="auto"/>
                <w:szCs w:val="21"/>
                <w:highlight w:val="none"/>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88" w:type="dxa"/>
            <w:noWrap w:val="0"/>
            <w:vAlign w:val="center"/>
          </w:tcPr>
          <w:p w14:paraId="0B5EC163">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7</w:t>
            </w:r>
          </w:p>
        </w:tc>
        <w:tc>
          <w:tcPr>
            <w:tcW w:w="1897" w:type="dxa"/>
            <w:noWrap w:val="0"/>
            <w:vAlign w:val="top"/>
          </w:tcPr>
          <w:p w14:paraId="0CB337E0">
            <w:pPr>
              <w:pStyle w:val="28"/>
              <w:rPr>
                <w:rFonts w:ascii="Times New Roman"/>
                <w:color w:val="auto"/>
                <w:sz w:val="20"/>
                <w:highlight w:val="none"/>
              </w:rPr>
            </w:pPr>
          </w:p>
          <w:p w14:paraId="3E9DA9F4">
            <w:pPr>
              <w:pStyle w:val="28"/>
              <w:rPr>
                <w:rFonts w:ascii="Times New Roman"/>
                <w:color w:val="auto"/>
                <w:sz w:val="20"/>
                <w:highlight w:val="none"/>
              </w:rPr>
            </w:pPr>
          </w:p>
          <w:p w14:paraId="5F20993F">
            <w:pPr>
              <w:pStyle w:val="28"/>
              <w:rPr>
                <w:rFonts w:ascii="Times New Roman"/>
                <w:color w:val="auto"/>
                <w:sz w:val="20"/>
                <w:highlight w:val="none"/>
              </w:rPr>
            </w:pPr>
          </w:p>
          <w:p w14:paraId="167F6B19">
            <w:pPr>
              <w:pStyle w:val="28"/>
              <w:rPr>
                <w:rFonts w:ascii="Times New Roman"/>
                <w:color w:val="auto"/>
                <w:sz w:val="20"/>
                <w:highlight w:val="none"/>
              </w:rPr>
            </w:pPr>
          </w:p>
          <w:p w14:paraId="5B153CFD">
            <w:pPr>
              <w:pStyle w:val="28"/>
              <w:rPr>
                <w:rFonts w:ascii="Times New Roman"/>
                <w:color w:val="auto"/>
                <w:sz w:val="20"/>
                <w:highlight w:val="none"/>
              </w:rPr>
            </w:pPr>
          </w:p>
          <w:p w14:paraId="49D3FD98">
            <w:pPr>
              <w:pStyle w:val="28"/>
              <w:spacing w:before="9"/>
              <w:rPr>
                <w:rFonts w:ascii="Times New Roman"/>
                <w:color w:val="auto"/>
                <w:sz w:val="23"/>
                <w:highlight w:val="none"/>
              </w:rPr>
            </w:pPr>
          </w:p>
          <w:p w14:paraId="2B96830C">
            <w:pPr>
              <w:pStyle w:val="28"/>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38</w:t>
            </w:r>
          </w:p>
        </w:tc>
        <w:tc>
          <w:tcPr>
            <w:tcW w:w="1897" w:type="dxa"/>
            <w:noWrap w:val="0"/>
            <w:vAlign w:val="top"/>
          </w:tcPr>
          <w:p w14:paraId="10C27745">
            <w:pPr>
              <w:pStyle w:val="28"/>
              <w:rPr>
                <w:rFonts w:ascii="Times New Roman"/>
                <w:color w:val="auto"/>
                <w:sz w:val="20"/>
                <w:highlight w:val="none"/>
              </w:rPr>
            </w:pPr>
          </w:p>
          <w:p w14:paraId="2AE35B4E">
            <w:pPr>
              <w:pStyle w:val="28"/>
              <w:spacing w:before="3"/>
              <w:rPr>
                <w:rFonts w:ascii="Times New Roman"/>
                <w:color w:val="auto"/>
                <w:sz w:val="24"/>
                <w:highlight w:val="none"/>
              </w:rPr>
            </w:pPr>
          </w:p>
          <w:p w14:paraId="29CF0D14">
            <w:pPr>
              <w:pStyle w:val="28"/>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14:paraId="27E0D1D0">
            <w:pPr>
              <w:pStyle w:val="28"/>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14:paraId="7AC4430E">
            <w:pPr>
              <w:pStyle w:val="28"/>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39</w:t>
            </w:r>
          </w:p>
        </w:tc>
        <w:tc>
          <w:tcPr>
            <w:tcW w:w="1897" w:type="dxa"/>
            <w:noWrap w:val="0"/>
            <w:vAlign w:val="center"/>
          </w:tcPr>
          <w:p w14:paraId="6A2B01A8">
            <w:pPr>
              <w:pStyle w:val="28"/>
              <w:jc w:val="center"/>
              <w:rPr>
                <w:rFonts w:ascii="Times New Roman"/>
                <w:color w:val="auto"/>
                <w:sz w:val="20"/>
                <w:highlight w:val="none"/>
              </w:rPr>
            </w:pPr>
          </w:p>
          <w:p w14:paraId="58B78F05">
            <w:pPr>
              <w:pStyle w:val="28"/>
              <w:ind w:left="207" w:leftChars="0" w:right="196" w:rightChars="0"/>
              <w:jc w:val="center"/>
              <w:rPr>
                <w:rFonts w:hint="eastAsia"/>
                <w:b/>
                <w:color w:val="auto"/>
                <w:kern w:val="0"/>
                <w:szCs w:val="21"/>
                <w:highlight w:val="none"/>
              </w:rPr>
            </w:pPr>
            <w:r>
              <w:rPr>
                <w:color w:val="auto"/>
                <w:highlight w:val="none"/>
              </w:rPr>
              <w:t>其它说明</w:t>
            </w:r>
          </w:p>
        </w:tc>
        <w:tc>
          <w:tcPr>
            <w:tcW w:w="6662" w:type="dxa"/>
            <w:noWrap w:val="0"/>
            <w:vAlign w:val="top"/>
          </w:tcPr>
          <w:p w14:paraId="162C06AE">
            <w:pPr>
              <w:spacing w:line="420" w:lineRule="exact"/>
              <w:ind w:firstLine="411" w:firstLineChars="196"/>
              <w:rPr>
                <w:rFonts w:hint="eastAsia"/>
                <w:color w:val="auto"/>
                <w:highlight w:val="none"/>
              </w:rPr>
            </w:pPr>
            <w:r>
              <w:rPr>
                <w:rFonts w:hint="eastAsia"/>
                <w:color w:val="auto"/>
                <w:highlight w:val="none"/>
              </w:rPr>
              <w:t>1、竞选人须在资格审查文件中承诺：我公司若中标，将在</w:t>
            </w:r>
            <w:r>
              <w:rPr>
                <w:rFonts w:hint="eastAsia"/>
                <w:color w:val="auto"/>
                <w:highlight w:val="none"/>
                <w:lang w:eastAsia="zh-CN"/>
              </w:rPr>
              <w:t>合同签订</w:t>
            </w:r>
            <w:r>
              <w:rPr>
                <w:rFonts w:hint="eastAsia"/>
                <w:color w:val="auto"/>
                <w:highlight w:val="none"/>
              </w:rPr>
              <w:t>时向贵单位提供参与本项目施工工作（按竞选文件）的人员名单，并附相应人员的身份证、执业资格证、职称证书、社保缴费证明等证明材料作为合同附件并作为合同文件的组成部分。如果我公司在</w:t>
            </w:r>
            <w:r>
              <w:rPr>
                <w:rFonts w:hint="eastAsia"/>
                <w:color w:val="auto"/>
                <w:highlight w:val="none"/>
                <w:lang w:eastAsia="zh-CN"/>
              </w:rPr>
              <w:t>合同签订</w:t>
            </w:r>
            <w:r>
              <w:rPr>
                <w:rFonts w:hint="eastAsia"/>
                <w:color w:val="auto"/>
                <w:highlight w:val="none"/>
              </w:rPr>
              <w:t>时，不能向贵单位提供上述材料（除不可抗力因素），视为我公司放弃中标候选人资格。</w:t>
            </w:r>
          </w:p>
          <w:p w14:paraId="05C0479D">
            <w:pPr>
              <w:pStyle w:val="28"/>
              <w:tabs>
                <w:tab w:val="left" w:pos="742"/>
              </w:tabs>
              <w:spacing w:before="20" w:line="278" w:lineRule="auto"/>
              <w:ind w:right="-15" w:rightChars="0" w:firstLine="420" w:firstLineChars="200"/>
              <w:jc w:val="left"/>
              <w:rPr>
                <w:rFonts w:hint="eastAsia"/>
                <w:b/>
                <w:color w:val="auto"/>
                <w:kern w:val="0"/>
                <w:szCs w:val="21"/>
                <w:highlight w:val="none"/>
              </w:rPr>
            </w:pPr>
            <w:r>
              <w:rPr>
                <w:rFonts w:hint="eastAsia"/>
                <w:color w:val="auto"/>
                <w:highlight w:val="none"/>
                <w:lang w:val="en-US"/>
              </w:rPr>
              <w:t>2、竞选人须在资格审查文件中承诺：我公司若中标，将在</w:t>
            </w:r>
            <w:r>
              <w:rPr>
                <w:rFonts w:hint="eastAsia"/>
                <w:color w:val="auto"/>
                <w:highlight w:val="none"/>
                <w:lang w:val="en-US" w:eastAsia="zh-CN"/>
              </w:rPr>
              <w:t>合同签订</w:t>
            </w:r>
            <w:r>
              <w:rPr>
                <w:rFonts w:hint="eastAsia"/>
                <w:color w:val="auto"/>
                <w:highlight w:val="none"/>
                <w:lang w:val="en-US"/>
              </w:rPr>
              <w:t>结束后7日内向贵单位提供主要设备进场清单。如果我公司在</w:t>
            </w:r>
            <w:r>
              <w:rPr>
                <w:rFonts w:hint="eastAsia"/>
                <w:color w:val="auto"/>
                <w:highlight w:val="none"/>
                <w:lang w:val="en-US" w:eastAsia="zh-CN"/>
              </w:rPr>
              <w:t>合同签订</w:t>
            </w:r>
            <w:r>
              <w:rPr>
                <w:rFonts w:hint="eastAsia"/>
                <w:color w:val="auto"/>
                <w:highlight w:val="none"/>
                <w:lang w:val="en-US"/>
              </w:rPr>
              <w:t>结束后7日内，不能向贵单位提供上述材料（除不可抗力因素），视为我公司放弃中标候选人资格。</w:t>
            </w:r>
          </w:p>
        </w:tc>
      </w:tr>
    </w:tbl>
    <w:p w14:paraId="5F224C5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457204477"/>
      <w:bookmarkStart w:id="20" w:name="_Toc290043916"/>
      <w:bookmarkStart w:id="21" w:name="_Toc370718261"/>
      <w:bookmarkStart w:id="22" w:name="_Toc32036"/>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1474FB33">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14346585">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14:paraId="660EC1A9">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584F8498">
            <w:pPr>
              <w:spacing w:line="400" w:lineRule="exact"/>
              <w:jc w:val="center"/>
              <w:rPr>
                <w:rFonts w:hint="eastAsia" w:ascii="宋体" w:hAnsi="宋体"/>
                <w:color w:val="auto"/>
                <w:kern w:val="0"/>
                <w:sz w:val="20"/>
                <w:szCs w:val="20"/>
                <w:highlight w:val="none"/>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D04DA8E">
            <w:pPr>
              <w:spacing w:line="400" w:lineRule="exact"/>
              <w:jc w:val="center"/>
              <w:rPr>
                <w:rFonts w:hint="eastAsia" w:ascii="宋体" w:hAnsi="宋体"/>
                <w:color w:val="auto"/>
                <w:kern w:val="0"/>
                <w:sz w:val="20"/>
                <w:szCs w:val="20"/>
                <w:highlight w:val="none"/>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F33F44F">
            <w:pPr>
              <w:spacing w:line="400" w:lineRule="exact"/>
              <w:jc w:val="center"/>
              <w:rPr>
                <w:rFonts w:hint="eastAsia" w:ascii="宋体" w:hAnsi="宋体"/>
                <w:color w:val="auto"/>
                <w:kern w:val="0"/>
                <w:sz w:val="20"/>
                <w:szCs w:val="20"/>
                <w:highlight w:val="none"/>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F4B1D53">
            <w:pPr>
              <w:spacing w:line="400" w:lineRule="exact"/>
              <w:jc w:val="center"/>
              <w:rPr>
                <w:rFonts w:hint="eastAsia" w:ascii="宋体" w:hAnsi="宋体"/>
                <w:color w:val="auto"/>
                <w:kern w:val="0"/>
                <w:sz w:val="20"/>
                <w:szCs w:val="20"/>
                <w:highlight w:val="none"/>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7A2985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14:paraId="63871457">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3CEB0C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9661A3B">
            <w:pPr>
              <w:spacing w:line="400" w:lineRule="exact"/>
              <w:jc w:val="center"/>
              <w:rPr>
                <w:rFonts w:hint="eastAsia" w:ascii="宋体" w:hAnsi="宋体"/>
                <w:color w:val="auto"/>
                <w:kern w:val="0"/>
                <w:sz w:val="20"/>
                <w:szCs w:val="20"/>
                <w:highlight w:val="none"/>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FB00CF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081180">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850E158">
            <w:pPr>
              <w:spacing w:line="400" w:lineRule="exact"/>
              <w:jc w:val="center"/>
              <w:rPr>
                <w:rFonts w:hint="eastAsia" w:ascii="宋体" w:hAnsi="宋体"/>
                <w:color w:val="auto"/>
                <w:kern w:val="0"/>
                <w:sz w:val="20"/>
                <w:szCs w:val="20"/>
                <w:highlight w:val="none"/>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7F7BA5">
            <w:pPr>
              <w:spacing w:line="400" w:lineRule="exact"/>
              <w:jc w:val="center"/>
              <w:rPr>
                <w:rFonts w:hint="eastAsia" w:ascii="宋体" w:hAnsi="宋体"/>
                <w:color w:val="auto"/>
                <w:kern w:val="0"/>
                <w:sz w:val="20"/>
                <w:szCs w:val="20"/>
                <w:highlight w:val="none"/>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14:paraId="59F51514">
            <w:pPr>
              <w:spacing w:line="400" w:lineRule="exact"/>
              <w:rPr>
                <w:rFonts w:hint="eastAsia" w:ascii="宋体" w:hAnsi="宋体"/>
                <w:color w:val="auto"/>
                <w:kern w:val="0"/>
                <w:highlight w:val="none"/>
              </w:rPr>
            </w:pPr>
          </w:p>
          <w:p w14:paraId="141FE060">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6C2CF25">
            <w:pPr>
              <w:spacing w:line="400" w:lineRule="exact"/>
              <w:jc w:val="center"/>
              <w:rPr>
                <w:rFonts w:hint="eastAsia" w:ascii="宋体" w:hAnsi="宋体"/>
                <w:color w:val="auto"/>
                <w:kern w:val="0"/>
                <w:sz w:val="20"/>
                <w:szCs w:val="20"/>
                <w:highlight w:val="none"/>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DEAD514">
            <w:pPr>
              <w:spacing w:line="400" w:lineRule="exact"/>
              <w:jc w:val="center"/>
              <w:rPr>
                <w:rFonts w:hint="eastAsia" w:ascii="宋体" w:hAnsi="宋体"/>
                <w:color w:val="auto"/>
                <w:kern w:val="0"/>
                <w:sz w:val="20"/>
                <w:szCs w:val="20"/>
                <w:highlight w:val="none"/>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B9EEC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251AA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32C12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E23CE09">
            <w:pPr>
              <w:spacing w:line="400" w:lineRule="exact"/>
              <w:jc w:val="center"/>
              <w:rPr>
                <w:rFonts w:hint="eastAsia" w:ascii="宋体" w:hAnsi="宋体"/>
                <w:color w:val="auto"/>
                <w:kern w:val="0"/>
                <w:sz w:val="20"/>
                <w:szCs w:val="20"/>
                <w:highlight w:val="none"/>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14:paraId="586447BB">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w:t>
            </w:r>
            <w:r>
              <w:rPr>
                <w:rFonts w:hint="eastAsia"/>
                <w:color w:val="auto"/>
                <w:highlight w:val="none"/>
                <w:lang w:eastAsia="zh-CN"/>
              </w:rPr>
              <w:t>评审小组</w:t>
            </w:r>
            <w:r>
              <w:rPr>
                <w:rFonts w:hint="eastAsia"/>
                <w:color w:val="auto"/>
                <w:highlight w:val="none"/>
              </w:rPr>
              <w:t>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14:paraId="27D8553A">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14:paraId="25794707">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14:paraId="33C24E35">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14:paraId="11635552">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lang w:eastAsia="zh-CN"/>
              </w:rPr>
              <w:t>评审小组</w:t>
            </w:r>
            <w:r>
              <w:rPr>
                <w:rFonts w:hint="eastAsia"/>
                <w:color w:val="auto"/>
                <w:highlight w:val="none"/>
              </w:rPr>
              <w:t>按本办法推荐中选候选人，并应向比选人提交比选报告。</w:t>
            </w:r>
          </w:p>
        </w:tc>
      </w:tr>
    </w:tbl>
    <w:p w14:paraId="12DF6251">
      <w:pPr>
        <w:autoSpaceDE w:val="0"/>
        <w:autoSpaceDN w:val="0"/>
        <w:adjustRightInd w:val="0"/>
        <w:snapToGrid w:val="0"/>
        <w:spacing w:line="360" w:lineRule="auto"/>
        <w:rPr>
          <w:rFonts w:ascii="宋体" w:hAnsi="宋体"/>
          <w:color w:val="auto"/>
          <w:kern w:val="0"/>
          <w:sz w:val="20"/>
          <w:szCs w:val="20"/>
          <w:highlight w:val="none"/>
        </w:rPr>
      </w:pPr>
    </w:p>
    <w:p w14:paraId="3EDF0166">
      <w:pPr>
        <w:pStyle w:val="8"/>
        <w:rPr>
          <w:color w:val="auto"/>
          <w:highlight w:val="none"/>
        </w:rPr>
      </w:pPr>
    </w:p>
    <w:p w14:paraId="37C225C5">
      <w:pPr>
        <w:rPr>
          <w:color w:val="auto"/>
          <w:highlight w:val="none"/>
        </w:rPr>
      </w:pPr>
    </w:p>
    <w:p w14:paraId="048E0C7C">
      <w:pPr>
        <w:pStyle w:val="9"/>
        <w:rPr>
          <w:rFonts w:hint="eastAsia"/>
          <w:color w:val="auto"/>
          <w:highlight w:val="none"/>
        </w:rPr>
      </w:pPr>
      <w:bookmarkStart w:id="23" w:name="_Toc224103484"/>
      <w:bookmarkStart w:id="24" w:name="_Toc443576785"/>
    </w:p>
    <w:p w14:paraId="3BA2AFFE">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14:paraId="592241A1">
      <w:pPr>
        <w:rPr>
          <w:rFonts w:hint="eastAsia"/>
          <w:color w:val="auto"/>
          <w:highlight w:val="none"/>
        </w:rPr>
      </w:pPr>
    </w:p>
    <w:p w14:paraId="1906D7A1">
      <w:pPr>
        <w:pageBreakBefore/>
        <w:spacing w:before="32"/>
        <w:ind w:left="703"/>
        <w:jc w:val="center"/>
        <w:rPr>
          <w:rFonts w:hint="eastAsia" w:ascii="黑体" w:eastAsia="黑体"/>
          <w:b/>
          <w:color w:val="auto"/>
          <w:sz w:val="48"/>
          <w:highlight w:val="none"/>
        </w:rPr>
      </w:pPr>
      <w:r>
        <w:rPr>
          <w:rFonts w:hint="eastAsia" w:ascii="黑体" w:eastAsia="黑体"/>
          <w:bCs/>
          <w:color w:val="auto"/>
          <w:sz w:val="48"/>
          <w:highlight w:val="none"/>
          <w:u w:val="single"/>
          <w:lang w:val="en-US" w:eastAsia="zh-CN"/>
        </w:rPr>
        <w:t>执行强制到案措施谈话场所建设项目施工劳务</w:t>
      </w:r>
      <w:r>
        <w:rPr>
          <w:rFonts w:hint="eastAsia" w:ascii="黑体" w:eastAsia="黑体"/>
          <w:b/>
          <w:color w:val="auto"/>
          <w:sz w:val="48"/>
          <w:highlight w:val="none"/>
        </w:rPr>
        <w:t>施</w:t>
      </w:r>
      <w:r>
        <w:rPr>
          <w:rFonts w:hint="eastAsia" w:ascii="黑体" w:eastAsia="黑体"/>
          <w:bCs/>
          <w:color w:val="auto"/>
          <w:sz w:val="48"/>
          <w:highlight w:val="none"/>
        </w:rPr>
        <w:t>工</w:t>
      </w:r>
      <w:r>
        <w:rPr>
          <w:rFonts w:hint="eastAsia" w:ascii="黑体" w:eastAsia="黑体"/>
          <w:b/>
          <w:color w:val="auto"/>
          <w:sz w:val="48"/>
          <w:highlight w:val="none"/>
        </w:rPr>
        <w:t>合同</w:t>
      </w:r>
    </w:p>
    <w:p w14:paraId="069380B0">
      <w:pPr>
        <w:pStyle w:val="8"/>
        <w:rPr>
          <w:rFonts w:ascii="黑体"/>
          <w:b/>
          <w:color w:val="auto"/>
          <w:sz w:val="48"/>
          <w:highlight w:val="none"/>
        </w:rPr>
      </w:pPr>
    </w:p>
    <w:p w14:paraId="65964910">
      <w:pPr>
        <w:pStyle w:val="8"/>
        <w:rPr>
          <w:rFonts w:ascii="黑体"/>
          <w:b/>
          <w:color w:val="auto"/>
          <w:sz w:val="48"/>
          <w:highlight w:val="none"/>
        </w:rPr>
      </w:pPr>
    </w:p>
    <w:p w14:paraId="717128EC">
      <w:pPr>
        <w:pStyle w:val="8"/>
        <w:rPr>
          <w:rFonts w:ascii="黑体"/>
          <w:b/>
          <w:color w:val="auto"/>
          <w:sz w:val="48"/>
          <w:highlight w:val="none"/>
        </w:rPr>
      </w:pPr>
    </w:p>
    <w:p w14:paraId="384FB0FB">
      <w:pPr>
        <w:pStyle w:val="8"/>
        <w:rPr>
          <w:rFonts w:ascii="黑体"/>
          <w:b/>
          <w:color w:val="auto"/>
          <w:sz w:val="48"/>
          <w:highlight w:val="none"/>
        </w:rPr>
      </w:pPr>
    </w:p>
    <w:p w14:paraId="58AC8EFF">
      <w:pPr>
        <w:pStyle w:val="8"/>
        <w:rPr>
          <w:rFonts w:ascii="黑体"/>
          <w:b/>
          <w:color w:val="auto"/>
          <w:sz w:val="48"/>
          <w:highlight w:val="none"/>
        </w:rPr>
      </w:pPr>
    </w:p>
    <w:p w14:paraId="0CCCFBA0">
      <w:pPr>
        <w:pStyle w:val="8"/>
        <w:rPr>
          <w:rFonts w:ascii="黑体"/>
          <w:b/>
          <w:color w:val="auto"/>
          <w:sz w:val="48"/>
          <w:highlight w:val="none"/>
        </w:rPr>
      </w:pPr>
    </w:p>
    <w:p w14:paraId="6FA34C1A">
      <w:pPr>
        <w:pStyle w:val="8"/>
        <w:rPr>
          <w:rFonts w:ascii="黑体"/>
          <w:b/>
          <w:color w:val="auto"/>
          <w:sz w:val="48"/>
          <w:highlight w:val="none"/>
        </w:rPr>
      </w:pPr>
    </w:p>
    <w:p w14:paraId="5BAA9325">
      <w:pPr>
        <w:pStyle w:val="8"/>
        <w:rPr>
          <w:rFonts w:ascii="黑体"/>
          <w:b/>
          <w:color w:val="auto"/>
          <w:sz w:val="48"/>
          <w:highlight w:val="none"/>
        </w:rPr>
      </w:pPr>
    </w:p>
    <w:p w14:paraId="62F2CB88">
      <w:pPr>
        <w:pStyle w:val="8"/>
        <w:rPr>
          <w:rFonts w:ascii="黑体"/>
          <w:b/>
          <w:color w:val="auto"/>
          <w:sz w:val="48"/>
          <w:highlight w:val="none"/>
        </w:rPr>
      </w:pPr>
    </w:p>
    <w:p w14:paraId="5B02981E">
      <w:pPr>
        <w:pStyle w:val="8"/>
        <w:spacing w:before="5"/>
        <w:rPr>
          <w:rFonts w:ascii="黑体"/>
          <w:b/>
          <w:color w:val="auto"/>
          <w:sz w:val="39"/>
          <w:highlight w:val="none"/>
        </w:rPr>
      </w:pPr>
    </w:p>
    <w:p w14:paraId="2B7B0AD2">
      <w:pPr>
        <w:pStyle w:val="5"/>
        <w:spacing w:line="364" w:lineRule="auto"/>
        <w:ind w:right="2344" w:firstLine="534"/>
        <w:rPr>
          <w:rFonts w:hint="default" w:cs="Times New Roman"/>
          <w:b/>
          <w:bCs/>
          <w:color w:val="auto"/>
          <w:w w:val="95"/>
          <w:sz w:val="32"/>
          <w:szCs w:val="32"/>
          <w:highlight w:val="none"/>
          <w:u w:val="single"/>
          <w:lang w:val="en-US" w:eastAsia="zh-CN"/>
        </w:rPr>
      </w:pPr>
    </w:p>
    <w:p w14:paraId="09F9F232">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重庆江汇建设工程有限责任公司</w:t>
      </w:r>
    </w:p>
    <w:p w14:paraId="3D4F8C60">
      <w:pPr>
        <w:pStyle w:val="5"/>
        <w:spacing w:line="364" w:lineRule="auto"/>
        <w:ind w:right="2344" w:firstLine="608"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14:paraId="3518BED3">
      <w:pPr>
        <w:tabs>
          <w:tab w:val="left" w:pos="5676"/>
          <w:tab w:val="left" w:pos="6480"/>
        </w:tabs>
        <w:spacing w:before="2"/>
        <w:ind w:firstLine="1928" w:firstLineChars="600"/>
        <w:jc w:val="left"/>
        <w:rPr>
          <w:b/>
          <w:color w:val="auto"/>
          <w:sz w:val="32"/>
          <w:highlight w:val="none"/>
        </w:rPr>
      </w:pPr>
    </w:p>
    <w:p w14:paraId="58452E31">
      <w:pPr>
        <w:tabs>
          <w:tab w:val="left" w:pos="5676"/>
          <w:tab w:val="left" w:pos="6480"/>
        </w:tabs>
        <w:spacing w:before="2"/>
        <w:ind w:firstLine="1928" w:firstLineChars="600"/>
        <w:jc w:val="left"/>
        <w:rPr>
          <w:b/>
          <w:color w:val="auto"/>
          <w:sz w:val="32"/>
          <w:highlight w:val="none"/>
        </w:rPr>
      </w:pPr>
    </w:p>
    <w:p w14:paraId="60FBE491">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p>
    <w:p w14:paraId="486E3706">
      <w:pPr>
        <w:jc w:val="left"/>
        <w:rPr>
          <w:color w:val="auto"/>
          <w:sz w:val="32"/>
          <w:highlight w:val="none"/>
        </w:rPr>
        <w:sectPr>
          <w:headerReference r:id="rId6" w:type="default"/>
          <w:footerReference r:id="rId7" w:type="default"/>
          <w:pgSz w:w="11905" w:h="16838"/>
          <w:pgMar w:top="1134" w:right="850" w:bottom="96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6CA5B4B">
      <w:pPr>
        <w:pStyle w:val="8"/>
        <w:rPr>
          <w:b/>
          <w:color w:val="auto"/>
          <w:sz w:val="20"/>
          <w:highlight w:val="none"/>
        </w:rPr>
      </w:pPr>
    </w:p>
    <w:p w14:paraId="7435E275">
      <w:pPr>
        <w:pStyle w:val="8"/>
        <w:spacing w:before="1"/>
        <w:rPr>
          <w:b/>
          <w:color w:val="auto"/>
          <w:sz w:val="14"/>
          <w:highlight w:val="none"/>
        </w:rPr>
      </w:pPr>
    </w:p>
    <w:p w14:paraId="54DD8055">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highlight w:val="none"/>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 xml:space="preserve">重庆江汇建设工程有限责任公司             </w:t>
      </w:r>
      <w:r>
        <w:rPr>
          <w:color w:val="auto"/>
          <w:sz w:val="21"/>
          <w:szCs w:val="21"/>
          <w:highlight w:val="none"/>
        </w:rPr>
        <w:t>（简称甲方</w:t>
      </w:r>
      <w:r>
        <w:rPr>
          <w:color w:val="auto"/>
          <w:spacing w:val="-8"/>
          <w:sz w:val="21"/>
          <w:szCs w:val="21"/>
          <w:highlight w:val="none"/>
        </w:rPr>
        <w:t>）</w:t>
      </w:r>
    </w:p>
    <w:p w14:paraId="3E782148">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sz w:val="21"/>
          <w:szCs w:val="21"/>
          <w:highlight w:val="none"/>
        </w:rPr>
      </w:pPr>
      <w:r>
        <w:rPr>
          <w:color w:val="auto"/>
          <w:sz w:val="21"/>
          <w:szCs w:val="21"/>
          <w:highlight w:val="none"/>
        </w:rPr>
        <w:t>承包人</w:t>
      </w:r>
      <w:r>
        <w:rPr>
          <w:rFonts w:hint="eastAsia"/>
          <w:color w:val="auto"/>
          <w:sz w:val="21"/>
          <w:szCs w:val="21"/>
          <w:highlight w:val="none"/>
          <w:lang w:eastAsia="zh-CN"/>
        </w:rPr>
        <w:t>（</w:t>
      </w:r>
      <w:r>
        <w:rPr>
          <w:rFonts w:hint="eastAsia"/>
          <w:color w:val="auto"/>
          <w:sz w:val="21"/>
          <w:szCs w:val="21"/>
          <w:highlight w:val="none"/>
          <w:lang w:val="en-US" w:eastAsia="zh-CN"/>
        </w:rPr>
        <w:t>全称</w:t>
      </w:r>
      <w:r>
        <w:rPr>
          <w:rFonts w:hint="eastAsia"/>
          <w:color w:val="auto"/>
          <w:sz w:val="21"/>
          <w:szCs w:val="21"/>
          <w:highlight w:val="none"/>
          <w:lang w:eastAsia="zh-CN"/>
        </w:rPr>
        <w:t>）</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rPr>
        <w:t xml:space="preserve">                                        </w:t>
      </w:r>
      <w:r>
        <w:rPr>
          <w:color w:val="auto"/>
          <w:sz w:val="21"/>
          <w:szCs w:val="21"/>
          <w:highlight w:val="none"/>
        </w:rPr>
        <w:t>（简称乙方）；</w:t>
      </w:r>
    </w:p>
    <w:p w14:paraId="22555FFB">
      <w:pPr>
        <w:pStyle w:val="8"/>
        <w:keepNext w:val="0"/>
        <w:keepLines w:val="0"/>
        <w:pageBreakBefore w:val="0"/>
        <w:tabs>
          <w:tab w:val="left" w:pos="3499"/>
        </w:tabs>
        <w:kinsoku/>
        <w:wordWrap/>
        <w:overflowPunct/>
        <w:topLinePunct w:val="0"/>
        <w:autoSpaceDE/>
        <w:autoSpaceDN/>
        <w:bidi w:val="0"/>
        <w:adjustRightInd/>
        <w:snapToGrid/>
        <w:spacing w:line="500" w:lineRule="exact"/>
        <w:ind w:left="132" w:right="318" w:firstLine="420"/>
        <w:rPr>
          <w:color w:val="auto"/>
          <w:sz w:val="21"/>
          <w:szCs w:val="21"/>
          <w:highlight w:val="none"/>
        </w:rPr>
      </w:pPr>
      <w:r>
        <w:rPr>
          <w:color w:val="auto"/>
          <w:sz w:val="21"/>
          <w:szCs w:val="21"/>
          <w:highlight w:val="none"/>
        </w:rPr>
        <w:t>本项目确定由</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负责</w:t>
      </w:r>
      <w:r>
        <w:rPr>
          <w:rFonts w:hint="eastAsia"/>
          <w:color w:val="auto"/>
          <w:sz w:val="21"/>
          <w:szCs w:val="21"/>
          <w:highlight w:val="none"/>
          <w:u w:val="single" w:color="000000"/>
        </w:rPr>
        <w:t xml:space="preserve">  </w:t>
      </w:r>
      <w:r>
        <w:rPr>
          <w:rFonts w:hint="eastAsia"/>
          <w:color w:val="auto"/>
          <w:sz w:val="21"/>
          <w:szCs w:val="21"/>
          <w:highlight w:val="none"/>
          <w:u w:val="single"/>
          <w:lang w:val="en-US" w:eastAsia="zh-CN"/>
        </w:rPr>
        <w:t>执行强制到案措施谈话场所建设项目施工劳务</w:t>
      </w:r>
      <w:r>
        <w:rPr>
          <w:rFonts w:hint="eastAsia"/>
          <w:color w:val="auto"/>
          <w:sz w:val="21"/>
          <w:szCs w:val="21"/>
          <w:highlight w:val="none"/>
          <w:u w:val="single"/>
        </w:rPr>
        <w:t xml:space="preserve"> </w:t>
      </w:r>
      <w:r>
        <w:rPr>
          <w:color w:val="auto"/>
          <w:spacing w:val="-8"/>
          <w:sz w:val="21"/>
          <w:szCs w:val="21"/>
          <w:highlight w:val="none"/>
          <w:u w:val="single"/>
        </w:rPr>
        <w:t xml:space="preserve"> </w:t>
      </w:r>
      <w:r>
        <w:rPr>
          <w:rFonts w:hint="eastAsia"/>
          <w:color w:val="auto"/>
          <w:sz w:val="21"/>
          <w:szCs w:val="21"/>
          <w:highlight w:val="none"/>
          <w:u w:val="single" w:color="000000"/>
        </w:rPr>
        <w:t xml:space="preserve"> </w:t>
      </w:r>
      <w:r>
        <w:rPr>
          <w:color w:val="auto"/>
          <w:sz w:val="21"/>
          <w:szCs w:val="21"/>
          <w:highlight w:val="none"/>
        </w:rPr>
        <w:t>施工工作</w:t>
      </w:r>
      <w:r>
        <w:rPr>
          <w:color w:val="auto"/>
          <w:spacing w:val="-99"/>
          <w:sz w:val="21"/>
          <w:szCs w:val="21"/>
          <w:highlight w:val="none"/>
        </w:rPr>
        <w:t>，</w:t>
      </w:r>
      <w:r>
        <w:rPr>
          <w:color w:val="auto"/>
          <w:sz w:val="21"/>
          <w:szCs w:val="21"/>
          <w:highlight w:val="none"/>
        </w:rPr>
        <w:t>在遵循平等</w:t>
      </w:r>
      <w:r>
        <w:rPr>
          <w:color w:val="auto"/>
          <w:spacing w:val="-97"/>
          <w:sz w:val="21"/>
          <w:szCs w:val="21"/>
          <w:highlight w:val="none"/>
        </w:rPr>
        <w:t>、</w:t>
      </w:r>
      <w:r>
        <w:rPr>
          <w:color w:val="auto"/>
          <w:sz w:val="21"/>
          <w:szCs w:val="21"/>
          <w:highlight w:val="none"/>
        </w:rPr>
        <w:t>自愿、公平和诚实信用的原则上，经甲</w:t>
      </w:r>
      <w:r>
        <w:rPr>
          <w:rFonts w:hint="eastAsia"/>
          <w:color w:val="auto"/>
          <w:sz w:val="21"/>
          <w:szCs w:val="21"/>
          <w:highlight w:val="none"/>
          <w:lang w:eastAsia="zh-CN"/>
        </w:rPr>
        <w:t>、</w:t>
      </w:r>
      <w:r>
        <w:rPr>
          <w:color w:val="auto"/>
          <w:sz w:val="21"/>
          <w:szCs w:val="21"/>
          <w:highlight w:val="none"/>
        </w:rPr>
        <w:t>乙双方平等协商，就</w:t>
      </w:r>
      <w:r>
        <w:rPr>
          <w:color w:val="auto"/>
          <w:spacing w:val="-7"/>
          <w:sz w:val="21"/>
          <w:szCs w:val="21"/>
          <w:highlight w:val="none"/>
          <w:u w:val="single"/>
        </w:rPr>
        <w:t xml:space="preserve"> </w:t>
      </w:r>
      <w:r>
        <w:rPr>
          <w:rFonts w:hint="eastAsia"/>
          <w:color w:val="auto"/>
          <w:sz w:val="21"/>
          <w:szCs w:val="21"/>
          <w:highlight w:val="none"/>
          <w:u w:val="single"/>
          <w:lang w:val="en-US" w:eastAsia="zh-CN"/>
        </w:rPr>
        <w:t>执行强制到案措施谈话场所建设项目施工劳务</w:t>
      </w:r>
      <w:r>
        <w:rPr>
          <w:rFonts w:hint="eastAsia"/>
          <w:color w:val="auto"/>
          <w:sz w:val="21"/>
          <w:szCs w:val="21"/>
          <w:highlight w:val="none"/>
          <w:u w:val="single"/>
        </w:rPr>
        <w:t xml:space="preserve"> </w:t>
      </w:r>
      <w:r>
        <w:rPr>
          <w:color w:val="auto"/>
          <w:spacing w:val="-8"/>
          <w:sz w:val="21"/>
          <w:szCs w:val="21"/>
          <w:highlight w:val="none"/>
          <w:u w:val="single"/>
        </w:rPr>
        <w:t xml:space="preserve"> </w:t>
      </w:r>
      <w:r>
        <w:rPr>
          <w:color w:val="auto"/>
          <w:sz w:val="21"/>
          <w:szCs w:val="21"/>
          <w:highlight w:val="none"/>
        </w:rPr>
        <w:t>施工事宜，订立本合同。</w:t>
      </w:r>
    </w:p>
    <w:p w14:paraId="6AF152E4">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color w:val="auto"/>
          <w:sz w:val="21"/>
          <w:szCs w:val="21"/>
          <w:highlight w:val="none"/>
        </w:rPr>
        <w:t>一、工程基本情况</w:t>
      </w:r>
    </w:p>
    <w:p w14:paraId="73DD8B5E">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26" w:line="500" w:lineRule="exact"/>
        <w:jc w:val="left"/>
        <w:rPr>
          <w:color w:val="auto"/>
          <w:szCs w:val="21"/>
          <w:highlight w:val="none"/>
        </w:rPr>
      </w:pPr>
      <w:r>
        <w:rPr>
          <w:color w:val="auto"/>
          <w:szCs w:val="21"/>
          <w:highlight w:val="none"/>
        </w:rPr>
        <w:t>工程项目名称：</w:t>
      </w:r>
      <w:r>
        <w:rPr>
          <w:color w:val="auto"/>
          <w:spacing w:val="-7"/>
          <w:sz w:val="21"/>
          <w:szCs w:val="21"/>
          <w:highlight w:val="none"/>
          <w:u w:val="single"/>
        </w:rPr>
        <w:t xml:space="preserve"> </w:t>
      </w:r>
      <w:r>
        <w:rPr>
          <w:rFonts w:hint="eastAsia"/>
          <w:color w:val="auto"/>
          <w:sz w:val="21"/>
          <w:szCs w:val="21"/>
          <w:highlight w:val="none"/>
          <w:u w:val="single"/>
          <w:lang w:val="en-US" w:eastAsia="zh-CN"/>
        </w:rPr>
        <w:t>执行强制到案措施谈话场所建设项目施工劳务</w:t>
      </w:r>
      <w:r>
        <w:rPr>
          <w:rFonts w:hint="eastAsia"/>
          <w:color w:val="auto"/>
          <w:sz w:val="21"/>
          <w:szCs w:val="21"/>
          <w:highlight w:val="none"/>
          <w:u w:val="single"/>
        </w:rPr>
        <w:t xml:space="preserve"> </w:t>
      </w:r>
    </w:p>
    <w:p w14:paraId="3CFD0205">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zCs w:val="21"/>
          <w:highlight w:val="none"/>
          <w:u w:val="single" w:color="000000"/>
        </w:rPr>
      </w:pPr>
      <w:r>
        <w:rPr>
          <w:color w:val="auto"/>
          <w:szCs w:val="21"/>
          <w:highlight w:val="none"/>
        </w:rPr>
        <w:t>工程建设地点：</w:t>
      </w:r>
      <w:r>
        <w:rPr>
          <w:rFonts w:hint="eastAsia"/>
          <w:color w:val="auto"/>
          <w:szCs w:val="21"/>
          <w:highlight w:val="none"/>
          <w:u w:val="single" w:color="000000"/>
        </w:rPr>
        <w:t xml:space="preserve"> </w:t>
      </w:r>
      <w:r>
        <w:rPr>
          <w:rFonts w:hint="eastAsia"/>
          <w:color w:val="auto"/>
          <w:sz w:val="21"/>
          <w:szCs w:val="21"/>
          <w:highlight w:val="none"/>
          <w:u w:val="single"/>
          <w:lang w:val="en-US" w:eastAsia="zh-CN"/>
        </w:rPr>
        <w:t>彭水县老气象局。</w:t>
      </w:r>
      <w:r>
        <w:rPr>
          <w:rFonts w:hint="eastAsia"/>
          <w:color w:val="auto"/>
          <w:szCs w:val="21"/>
          <w:highlight w:val="none"/>
          <w:u w:val="single" w:color="000000"/>
          <w:lang w:val="en-US"/>
        </w:rPr>
        <w:t xml:space="preserve">  </w:t>
      </w:r>
      <w:r>
        <w:rPr>
          <w:rFonts w:hint="eastAsia"/>
          <w:color w:val="auto"/>
          <w:szCs w:val="21"/>
          <w:highlight w:val="none"/>
          <w:u w:val="single" w:color="000000"/>
          <w:lang w:val="en-US" w:eastAsia="zh-CN"/>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rPr>
        <w:t xml:space="preserve"> </w:t>
      </w:r>
      <w:r>
        <w:rPr>
          <w:rFonts w:hint="eastAsia"/>
          <w:color w:val="auto"/>
          <w:szCs w:val="21"/>
          <w:highlight w:val="none"/>
          <w:u w:val="single" w:color="000000"/>
          <w:lang w:val="en-US" w:eastAsia="zh-CN"/>
        </w:rPr>
        <w:t xml:space="preserve"> </w:t>
      </w:r>
    </w:p>
    <w:p w14:paraId="6C5AC5C3">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pacing w:val="-10"/>
          <w:szCs w:val="21"/>
          <w:highlight w:val="none"/>
        </w:rPr>
      </w:pPr>
      <w:r>
        <w:rPr>
          <w:color w:val="auto"/>
          <w:szCs w:val="21"/>
          <w:highlight w:val="none"/>
        </w:rPr>
        <w:t>工程建设内容：</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14:paraId="4C23509F">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rFonts w:hint="eastAsia"/>
          <w:color w:val="auto"/>
          <w:sz w:val="21"/>
          <w:szCs w:val="21"/>
          <w:highlight w:val="none"/>
        </w:rPr>
        <w:t>二、</w:t>
      </w:r>
      <w:r>
        <w:rPr>
          <w:color w:val="auto"/>
          <w:sz w:val="21"/>
          <w:szCs w:val="21"/>
          <w:highlight w:val="none"/>
        </w:rPr>
        <w:t>工程承包方式、范围及履约保证金</w:t>
      </w:r>
    </w:p>
    <w:p w14:paraId="366DB2FF">
      <w:pPr>
        <w:pStyle w:val="8"/>
        <w:keepNext w:val="0"/>
        <w:keepLines w:val="0"/>
        <w:pageBreakBefore w:val="0"/>
        <w:kinsoku/>
        <w:wordWrap/>
        <w:overflowPunct/>
        <w:topLinePunct w:val="0"/>
        <w:autoSpaceDE/>
        <w:autoSpaceDN/>
        <w:bidi w:val="0"/>
        <w:adjustRightInd/>
        <w:snapToGrid/>
        <w:spacing w:before="128" w:line="500" w:lineRule="exact"/>
        <w:ind w:left="552"/>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1、本项目实行</w:t>
      </w:r>
      <w:r>
        <w:rPr>
          <w:rFonts w:hint="eastAsia"/>
          <w:color w:val="auto"/>
          <w:sz w:val="21"/>
          <w:szCs w:val="21"/>
          <w:highlight w:val="none"/>
          <w:lang w:val="en-US" w:eastAsia="zh-CN"/>
        </w:rPr>
        <w:t>劳务及辅助材料承包</w:t>
      </w:r>
      <w:r>
        <w:rPr>
          <w:rFonts w:hint="eastAsia" w:ascii="Times New Roman" w:hAnsi="Times New Roman" w:eastAsia="宋体" w:cs="Times New Roman"/>
          <w:color w:val="auto"/>
          <w:sz w:val="21"/>
          <w:szCs w:val="21"/>
          <w:highlight w:val="none"/>
          <w:lang w:val="en-US" w:eastAsia="zh-CN"/>
        </w:rPr>
        <w:t>，比选人提供的</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执行强制到案措施谈话场所建设项目施工劳务</w:t>
      </w:r>
      <w:r>
        <w:rPr>
          <w:rFonts w:hint="eastAsia" w:ascii="Times New Roman" w:hAnsi="Times New Roman" w:eastAsia="宋体" w:cs="Times New Roman"/>
          <w:color w:val="auto"/>
          <w:sz w:val="21"/>
          <w:szCs w:val="21"/>
          <w:highlight w:val="none"/>
          <w:u w:val="single"/>
          <w:lang w:val="en-US" w:eastAsia="zh-CN"/>
        </w:rPr>
        <w:t>（项目名称）</w:t>
      </w:r>
      <w:r>
        <w:rPr>
          <w:rFonts w:hint="eastAsia" w:ascii="Times New Roman" w:hAnsi="Times New Roman" w:eastAsia="宋体" w:cs="Times New Roman"/>
          <w:color w:val="auto"/>
          <w:sz w:val="21"/>
          <w:szCs w:val="21"/>
          <w:highlight w:val="none"/>
          <w:lang w:val="en-US" w:eastAsia="zh-CN"/>
        </w:rPr>
        <w:t>所包含全部工程内容的劳务及辅助材料，具体以比选人提供的工程量清单及图纸为准。</w:t>
      </w:r>
    </w:p>
    <w:p w14:paraId="3CDF23D8">
      <w:pPr>
        <w:pStyle w:val="6"/>
        <w:keepNext w:val="0"/>
        <w:keepLines w:val="0"/>
        <w:pageBreakBefore w:val="0"/>
        <w:kinsoku/>
        <w:wordWrap/>
        <w:overflowPunct/>
        <w:topLinePunct w:val="0"/>
        <w:autoSpaceDE/>
        <w:autoSpaceDN/>
        <w:bidi w:val="0"/>
        <w:adjustRightInd/>
        <w:snapToGrid/>
        <w:spacing w:before="27" w:line="500" w:lineRule="exact"/>
        <w:rPr>
          <w:color w:val="auto"/>
          <w:sz w:val="21"/>
          <w:szCs w:val="21"/>
          <w:highlight w:val="none"/>
        </w:rPr>
      </w:pPr>
      <w:r>
        <w:rPr>
          <w:color w:val="auto"/>
          <w:sz w:val="21"/>
          <w:szCs w:val="21"/>
          <w:highlight w:val="none"/>
        </w:rPr>
        <w:t>三、合同工期</w:t>
      </w:r>
    </w:p>
    <w:p w14:paraId="6ECE3E2E">
      <w:pPr>
        <w:pStyle w:val="8"/>
        <w:keepNext w:val="0"/>
        <w:keepLines w:val="0"/>
        <w:pageBreakBefore w:val="0"/>
        <w:tabs>
          <w:tab w:val="left" w:pos="5591"/>
        </w:tabs>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本合同工期：</w:t>
      </w:r>
      <w:r>
        <w:rPr>
          <w:color w:val="auto"/>
          <w:spacing w:val="99"/>
          <w:sz w:val="21"/>
          <w:szCs w:val="21"/>
          <w:highlight w:val="none"/>
          <w:u w:val="single"/>
        </w:rPr>
        <w:t xml:space="preserve"> </w:t>
      </w:r>
      <w:r>
        <w:rPr>
          <w:rFonts w:hint="eastAsia"/>
          <w:color w:val="auto"/>
          <w:spacing w:val="99"/>
          <w:sz w:val="21"/>
          <w:szCs w:val="21"/>
          <w:highlight w:val="none"/>
          <w:u w:val="single"/>
        </w:rPr>
        <w:t xml:space="preserve">  </w:t>
      </w:r>
      <w:r>
        <w:rPr>
          <w:color w:val="auto"/>
          <w:sz w:val="21"/>
          <w:szCs w:val="21"/>
          <w:highlight w:val="none"/>
          <w:u w:val="single"/>
        </w:rPr>
        <w:tab/>
      </w:r>
      <w:r>
        <w:rPr>
          <w:color w:val="auto"/>
          <w:sz w:val="21"/>
          <w:szCs w:val="21"/>
          <w:highlight w:val="none"/>
        </w:rPr>
        <w:t>。</w:t>
      </w:r>
    </w:p>
    <w:p w14:paraId="15BC19B5">
      <w:pPr>
        <w:pStyle w:val="6"/>
        <w:keepNext w:val="0"/>
        <w:keepLines w:val="0"/>
        <w:pageBreakBefore w:val="0"/>
        <w:numPr>
          <w:ilvl w:val="0"/>
          <w:numId w:val="6"/>
        </w:numPr>
        <w:kinsoku/>
        <w:wordWrap/>
        <w:overflowPunct/>
        <w:topLinePunct w:val="0"/>
        <w:autoSpaceDE/>
        <w:autoSpaceDN/>
        <w:bidi w:val="0"/>
        <w:adjustRightInd/>
        <w:snapToGrid/>
        <w:spacing w:before="1" w:line="500" w:lineRule="exact"/>
        <w:rPr>
          <w:color w:val="auto"/>
          <w:sz w:val="21"/>
          <w:szCs w:val="21"/>
          <w:highlight w:val="none"/>
        </w:rPr>
      </w:pPr>
      <w:r>
        <w:rPr>
          <w:color w:val="auto"/>
          <w:sz w:val="21"/>
          <w:szCs w:val="21"/>
          <w:highlight w:val="none"/>
        </w:rPr>
        <w:t>合同价款</w:t>
      </w:r>
    </w:p>
    <w:p w14:paraId="4AD504D6">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1.承包人</w:t>
      </w:r>
      <w:r>
        <w:rPr>
          <w:rFonts w:hint="eastAsia" w:ascii="宋体" w:hAnsi="宋体"/>
          <w:color w:val="auto"/>
          <w:sz w:val="24"/>
          <w:szCs w:val="24"/>
          <w:highlight w:val="none"/>
          <w:lang w:eastAsia="zh-CN"/>
        </w:rPr>
        <w:t>竞选函</w:t>
      </w:r>
      <w:r>
        <w:rPr>
          <w:rFonts w:hint="eastAsia" w:ascii="宋体" w:hAnsi="宋体"/>
          <w:color w:val="auto"/>
          <w:sz w:val="24"/>
          <w:szCs w:val="24"/>
          <w:highlight w:val="none"/>
        </w:rPr>
        <w:t>中承诺的中</w:t>
      </w:r>
      <w:r>
        <w:rPr>
          <w:rFonts w:hint="eastAsia" w:ascii="宋体" w:hAnsi="宋体"/>
          <w:color w:val="auto"/>
          <w:sz w:val="24"/>
          <w:szCs w:val="24"/>
          <w:highlight w:val="none"/>
          <w:lang w:eastAsia="zh-CN"/>
        </w:rPr>
        <w:t>选</w:t>
      </w:r>
      <w:r>
        <w:rPr>
          <w:rFonts w:hint="eastAsia" w:ascii="宋体" w:hAnsi="宋体"/>
          <w:color w:val="auto"/>
          <w:sz w:val="24"/>
          <w:szCs w:val="24"/>
          <w:highlight w:val="none"/>
        </w:rPr>
        <w:t>价为：</w:t>
      </w:r>
    </w:p>
    <w:p w14:paraId="382F530A">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1D13ED84">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2.签约合同价为：</w:t>
      </w:r>
    </w:p>
    <w:p w14:paraId="377011CA">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7A2A4545">
      <w:pPr>
        <w:numPr>
          <w:ilvl w:val="0"/>
          <w:numId w:val="0"/>
        </w:numPr>
        <w:ind w:firstLine="480" w:firstLineChars="200"/>
        <w:rPr>
          <w:color w:val="auto"/>
          <w:highlight w:val="none"/>
        </w:rPr>
      </w:pPr>
      <w:r>
        <w:rPr>
          <w:rFonts w:hint="eastAsia" w:ascii="宋体" w:hAnsi="宋体"/>
          <w:color w:val="auto"/>
          <w:sz w:val="24"/>
          <w:szCs w:val="24"/>
          <w:highlight w:val="none"/>
        </w:rPr>
        <w:t>3.合同价格形式：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单价</w:t>
      </w:r>
      <w:r>
        <w:rPr>
          <w:rFonts w:ascii="宋体" w:hAnsi="宋体"/>
          <w:color w:val="auto"/>
          <w:sz w:val="24"/>
          <w:szCs w:val="24"/>
          <w:highlight w:val="none"/>
          <w:u w:val="single"/>
        </w:rPr>
        <w:t>合同</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AEC2D46">
      <w:pPr>
        <w:pStyle w:val="6"/>
        <w:keepNext w:val="0"/>
        <w:keepLines w:val="0"/>
        <w:pageBreakBefore w:val="0"/>
        <w:numPr>
          <w:ilvl w:val="0"/>
          <w:numId w:val="7"/>
        </w:numPr>
        <w:kinsoku/>
        <w:wordWrap/>
        <w:overflowPunct/>
        <w:topLinePunct w:val="0"/>
        <w:autoSpaceDE/>
        <w:autoSpaceDN/>
        <w:bidi w:val="0"/>
        <w:adjustRightInd/>
        <w:snapToGrid/>
        <w:spacing w:line="500" w:lineRule="exact"/>
        <w:rPr>
          <w:color w:val="auto"/>
          <w:sz w:val="21"/>
          <w:szCs w:val="21"/>
          <w:highlight w:val="none"/>
        </w:rPr>
      </w:pPr>
      <w:r>
        <w:rPr>
          <w:color w:val="auto"/>
          <w:sz w:val="21"/>
          <w:szCs w:val="21"/>
          <w:highlight w:val="none"/>
        </w:rPr>
        <w:t>工程价款结算原则</w:t>
      </w:r>
    </w:p>
    <w:p w14:paraId="54A09D6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400"/>
        <w:textAlignment w:val="baseline"/>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工程计价形式：</w:t>
      </w:r>
    </w:p>
    <w:p w14:paraId="596B6C2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定额</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定额计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材料费、机械费、试验费、企业管理费、利润、风险费、措施费、规费、安全文明施工费、税金及政策性文件规定的所有费用、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691D62A8">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val="en-US" w:eastAsia="zh-CN"/>
        </w:rPr>
        <w:t>进行结算编制</w:t>
      </w:r>
      <w:r>
        <w:rPr>
          <w:rFonts w:hint="eastAsia"/>
          <w:color w:val="auto"/>
          <w:highlight w:val="none"/>
          <w:lang w:eastAsia="zh-CN"/>
        </w:rPr>
        <w:t>。</w:t>
      </w:r>
    </w:p>
    <w:p w14:paraId="3A0BD825">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本</w:t>
      </w:r>
      <w:r>
        <w:rPr>
          <w:rFonts w:hint="eastAsia"/>
          <w:color w:val="auto"/>
          <w:highlight w:val="none"/>
          <w:lang w:eastAsia="zh-CN"/>
        </w:rPr>
        <w:t>工程所需</w:t>
      </w:r>
      <w:r>
        <w:rPr>
          <w:rFonts w:hint="eastAsia" w:ascii="宋体" w:hAnsi="宋体" w:cs="宋体"/>
          <w:color w:val="auto"/>
          <w:kern w:val="0"/>
          <w:sz w:val="21"/>
          <w:szCs w:val="21"/>
          <w:highlight w:val="none"/>
          <w:lang w:val="en-US" w:eastAsia="zh-CN"/>
        </w:rPr>
        <w:t>劳务和辅助材料</w:t>
      </w:r>
      <w:r>
        <w:rPr>
          <w:rFonts w:hint="eastAsia"/>
          <w:color w:val="auto"/>
          <w:highlight w:val="none"/>
          <w:lang w:eastAsia="zh-CN"/>
        </w:rPr>
        <w:t>价格由竞选人参照重庆市建设工程造价管理总站发布的《重庆工程造价信息》或工程造价管理机构发布的工程造价信息</w:t>
      </w:r>
      <w:r>
        <w:rPr>
          <w:rFonts w:hint="eastAsia"/>
          <w:color w:val="auto"/>
          <w:highlight w:val="none"/>
          <w:lang w:val="en-US" w:eastAsia="zh-CN"/>
        </w:rPr>
        <w:t>执行；如造价信息没有的辅助材料价格，由乙方申报后由甲方审定，作结算单价。</w:t>
      </w:r>
    </w:p>
    <w:p w14:paraId="0D80BB9D">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）本</w:t>
      </w:r>
      <w:r>
        <w:rPr>
          <w:rFonts w:hint="eastAsia"/>
          <w:color w:val="auto"/>
          <w:highlight w:val="none"/>
          <w:lang w:val="en-US" w:eastAsia="zh-CN"/>
        </w:rPr>
        <w:t>工程</w:t>
      </w:r>
      <w:r>
        <w:rPr>
          <w:rFonts w:hint="eastAsia"/>
          <w:color w:val="auto"/>
          <w:highlight w:val="none"/>
          <w:lang w:eastAsia="zh-CN"/>
        </w:rPr>
        <w:t>所采用技术、工艺和产品等必须执行重庆市住房和城乡建设委员会关于发布《重庆市建设领域禁止、限制使用落后技术通告（2019 年版）（渝建发〔2019〕25 号）的规定。</w:t>
      </w:r>
    </w:p>
    <w:p w14:paraId="6925B86D">
      <w:pPr>
        <w:pStyle w:val="8"/>
        <w:keepNext w:val="0"/>
        <w:keepLines w:val="0"/>
        <w:pageBreakBefore w:val="0"/>
        <w:widowControl w:val="0"/>
        <w:kinsoku/>
        <w:wordWrap/>
        <w:overflowPunct/>
        <w:topLinePunct w:val="0"/>
        <w:autoSpaceDE/>
        <w:autoSpaceDN/>
        <w:bidi w:val="0"/>
        <w:adjustRightInd/>
        <w:snapToGrid/>
        <w:spacing w:line="500" w:lineRule="exact"/>
        <w:ind w:firstLine="260" w:firstLineChars="100"/>
        <w:textAlignment w:val="auto"/>
        <w:rPr>
          <w:rFonts w:hint="eastAsia" w:ascii="Malgun Gothic Semilight" w:hAnsi="Malgun Gothic Semilight" w:eastAsia="Malgun Gothic Semilight" w:cs="Malgun Gothic Semilight"/>
          <w:color w:val="auto"/>
          <w:sz w:val="21"/>
          <w:szCs w:val="21"/>
          <w:highlight w:val="none"/>
          <w:lang w:eastAsia="zh-CN"/>
        </w:rPr>
      </w:pPr>
      <w:r>
        <w:rPr>
          <w:rFonts w:hint="eastAsia" w:ascii="Malgun Gothic Semilight" w:hAnsi="Malgun Gothic Semilight" w:eastAsia="Malgun Gothic Semilight" w:cs="Malgun Gothic Semilight"/>
          <w:color w:val="auto"/>
          <w:highlight w:val="none"/>
          <w:lang w:eastAsia="zh-CN"/>
        </w:rPr>
        <w:t>（</w:t>
      </w:r>
      <w:r>
        <w:rPr>
          <w:rFonts w:hint="eastAsia" w:ascii="Malgun Gothic Semilight" w:hAnsi="Malgun Gothic Semilight" w:eastAsia="Malgun Gothic Semilight" w:cs="Malgun Gothic Semilight"/>
          <w:color w:val="auto"/>
          <w:sz w:val="21"/>
          <w:szCs w:val="21"/>
          <w:highlight w:val="none"/>
          <w:lang w:val="en-US" w:eastAsia="zh-CN"/>
        </w:rPr>
        <w:t>5</w:t>
      </w:r>
      <w:r>
        <w:rPr>
          <w:rFonts w:hint="eastAsia" w:ascii="Malgun Gothic Semilight" w:hAnsi="Malgun Gothic Semilight" w:eastAsia="Malgun Gothic Semilight" w:cs="Malgun Gothic Semilight"/>
          <w:color w:val="auto"/>
          <w:sz w:val="21"/>
          <w:szCs w:val="21"/>
          <w:highlight w:val="none"/>
          <w:lang w:eastAsia="zh-CN"/>
        </w:rPr>
        <w:t>）</w:t>
      </w:r>
      <w:r>
        <w:rPr>
          <w:rFonts w:hint="eastAsia" w:ascii="Malgun Gothic Semilight" w:hAnsi="Malgun Gothic Semilight" w:eastAsia="Malgun Gothic Semilight" w:cs="Malgun Gothic Semilight"/>
          <w:color w:val="auto"/>
          <w:sz w:val="21"/>
          <w:szCs w:val="21"/>
          <w:highlight w:val="none"/>
        </w:rPr>
        <w:t>竞选人须自行综合考虑所有材料及成品的运达地点、二次转运运距，比选人发布的限价中已综合考虑二次转运所产生的一切费用，无论二次转运</w:t>
      </w:r>
      <w:r>
        <w:rPr>
          <w:rFonts w:hint="eastAsia" w:ascii="Malgun Gothic Semilight" w:hAnsi="Malgun Gothic Semilight" w:eastAsia="Malgun Gothic Semilight" w:cs="Malgun Gothic Semilight"/>
          <w:color w:val="auto"/>
          <w:sz w:val="21"/>
          <w:szCs w:val="21"/>
          <w:highlight w:val="none"/>
          <w:lang w:val="en-US" w:eastAsia="zh-CN"/>
        </w:rPr>
        <w:t>采用何种方式或</w:t>
      </w:r>
      <w:r>
        <w:rPr>
          <w:rFonts w:hint="eastAsia" w:ascii="Malgun Gothic Semilight" w:hAnsi="Malgun Gothic Semilight" w:eastAsia="Malgun Gothic Semilight" w:cs="Malgun Gothic Semilight"/>
          <w:color w:val="auto"/>
          <w:sz w:val="21"/>
          <w:szCs w:val="21"/>
          <w:highlight w:val="none"/>
        </w:rPr>
        <w:t>运距远近，其费用均已包含在竞选人的</w:t>
      </w:r>
      <w:r>
        <w:rPr>
          <w:rFonts w:hint="eastAsia" w:ascii="Malgun Gothic Semilight" w:hAnsi="Malgun Gothic Semilight" w:eastAsia="Malgun Gothic Semilight" w:cs="Malgun Gothic Semilight"/>
          <w:color w:val="auto"/>
          <w:sz w:val="21"/>
          <w:szCs w:val="21"/>
          <w:highlight w:val="none"/>
          <w:lang w:val="en-US" w:eastAsia="zh-CN"/>
        </w:rPr>
        <w:t>工程量清单单价（总报价）报价</w:t>
      </w:r>
      <w:r>
        <w:rPr>
          <w:rFonts w:hint="eastAsia" w:ascii="Malgun Gothic Semilight" w:hAnsi="Malgun Gothic Semilight" w:eastAsia="Malgun Gothic Semilight" w:cs="Malgun Gothic Semilight"/>
          <w:color w:val="auto"/>
          <w:sz w:val="21"/>
          <w:szCs w:val="21"/>
          <w:highlight w:val="none"/>
        </w:rPr>
        <w:t>中。</w:t>
      </w:r>
    </w:p>
    <w:p w14:paraId="32D2266F">
      <w:pPr>
        <w:pStyle w:val="8"/>
        <w:keepNext w:val="0"/>
        <w:keepLines w:val="0"/>
        <w:pageBreakBefore w:val="0"/>
        <w:kinsoku/>
        <w:wordWrap/>
        <w:overflowPunct/>
        <w:topLinePunct w:val="0"/>
        <w:autoSpaceDE/>
        <w:autoSpaceDN/>
        <w:bidi w:val="0"/>
        <w:adjustRightInd/>
        <w:snapToGrid/>
        <w:spacing w:before="190" w:line="500" w:lineRule="exact"/>
        <w:ind w:firstLine="420" w:firstLineChars="200"/>
        <w:rPr>
          <w:color w:val="auto"/>
          <w:sz w:val="21"/>
          <w:szCs w:val="21"/>
          <w:highlight w:val="none"/>
        </w:rPr>
      </w:pPr>
      <w:r>
        <w:rPr>
          <w:rFonts w:hint="eastAsia"/>
          <w:color w:val="auto"/>
          <w:sz w:val="21"/>
          <w:szCs w:val="21"/>
          <w:highlight w:val="none"/>
        </w:rPr>
        <w:t>在完成规定的</w:t>
      </w:r>
      <w:r>
        <w:rPr>
          <w:rFonts w:hint="eastAsia"/>
          <w:color w:val="auto"/>
          <w:sz w:val="21"/>
          <w:szCs w:val="21"/>
          <w:highlight w:val="none"/>
          <w:lang w:val="en-US" w:eastAsia="zh-CN"/>
        </w:rPr>
        <w:t>设计图</w:t>
      </w:r>
      <w:r>
        <w:rPr>
          <w:rFonts w:hint="eastAsia"/>
          <w:color w:val="auto"/>
          <w:sz w:val="21"/>
          <w:szCs w:val="21"/>
          <w:highlight w:val="none"/>
        </w:rPr>
        <w:t>工程量，</w:t>
      </w:r>
      <w:r>
        <w:rPr>
          <w:rFonts w:hint="eastAsia"/>
          <w:color w:val="auto"/>
          <w:sz w:val="21"/>
          <w:szCs w:val="21"/>
          <w:highlight w:val="none"/>
          <w:lang w:val="en-US" w:eastAsia="zh-CN"/>
        </w:rPr>
        <w:t>由业主</w:t>
      </w:r>
      <w:r>
        <w:rPr>
          <w:rFonts w:hint="eastAsia"/>
          <w:color w:val="auto"/>
          <w:sz w:val="21"/>
          <w:szCs w:val="21"/>
          <w:highlight w:val="none"/>
        </w:rPr>
        <w:t>、监理单位共同</w:t>
      </w:r>
      <w:r>
        <w:rPr>
          <w:rFonts w:hint="eastAsia"/>
          <w:color w:val="auto"/>
          <w:sz w:val="21"/>
          <w:szCs w:val="21"/>
          <w:highlight w:val="none"/>
          <w:lang w:val="en-US" w:eastAsia="zh-CN"/>
        </w:rPr>
        <w:t>验收，</w:t>
      </w:r>
      <w:r>
        <w:rPr>
          <w:rFonts w:hint="eastAsia"/>
          <w:color w:val="auto"/>
          <w:sz w:val="21"/>
          <w:szCs w:val="21"/>
          <w:highlight w:val="none"/>
        </w:rPr>
        <w:t>合格后</w:t>
      </w:r>
      <w:r>
        <w:rPr>
          <w:rFonts w:hint="eastAsia"/>
          <w:color w:val="auto"/>
          <w:sz w:val="21"/>
          <w:szCs w:val="21"/>
          <w:highlight w:val="none"/>
          <w:lang w:val="en-US" w:eastAsia="zh-CN"/>
        </w:rPr>
        <w:t>根据业主、监理单位对乙方编制的结书审核后</w:t>
      </w:r>
      <w:r>
        <w:rPr>
          <w:rFonts w:hint="eastAsia"/>
          <w:color w:val="auto"/>
          <w:sz w:val="21"/>
          <w:szCs w:val="21"/>
          <w:highlight w:val="none"/>
        </w:rPr>
        <w:t>，支付已完成</w:t>
      </w:r>
      <w:r>
        <w:rPr>
          <w:rFonts w:hint="eastAsia"/>
          <w:color w:val="auto"/>
          <w:sz w:val="21"/>
          <w:szCs w:val="21"/>
          <w:highlight w:val="none"/>
          <w:lang w:val="en-US" w:eastAsia="zh-CN"/>
        </w:rPr>
        <w:t>工程进度款的50%</w:t>
      </w:r>
      <w:r>
        <w:rPr>
          <w:rFonts w:hint="eastAsia"/>
          <w:color w:val="auto"/>
          <w:sz w:val="21"/>
          <w:szCs w:val="21"/>
          <w:highlight w:val="none"/>
          <w:lang w:eastAsia="zh-CN"/>
        </w:rPr>
        <w:t>；</w:t>
      </w:r>
      <w:r>
        <w:rPr>
          <w:rFonts w:hint="eastAsia"/>
          <w:color w:val="auto"/>
          <w:sz w:val="21"/>
          <w:szCs w:val="21"/>
          <w:highlight w:val="none"/>
        </w:rPr>
        <w:t>项目</w:t>
      </w:r>
      <w:r>
        <w:rPr>
          <w:color w:val="auto"/>
          <w:sz w:val="21"/>
          <w:szCs w:val="21"/>
          <w:highlight w:val="none"/>
        </w:rPr>
        <w:t>竣工验收合格</w:t>
      </w:r>
      <w:r>
        <w:rPr>
          <w:rFonts w:hint="eastAsia"/>
          <w:color w:val="auto"/>
          <w:sz w:val="21"/>
          <w:szCs w:val="21"/>
          <w:highlight w:val="none"/>
        </w:rPr>
        <w:t>并通过结算审计，</w:t>
      </w:r>
      <w:r>
        <w:rPr>
          <w:rFonts w:hint="eastAsia"/>
          <w:color w:val="auto"/>
          <w:sz w:val="21"/>
          <w:szCs w:val="21"/>
          <w:highlight w:val="none"/>
          <w:lang w:val="en-US" w:eastAsia="zh-CN"/>
        </w:rPr>
        <w:t>支付至结算价款的95%，</w:t>
      </w:r>
      <w:r>
        <w:rPr>
          <w:rFonts w:hint="eastAsia"/>
          <w:color w:val="auto"/>
          <w:sz w:val="21"/>
          <w:szCs w:val="21"/>
          <w:highlight w:val="none"/>
        </w:rPr>
        <w:t>扣留</w:t>
      </w:r>
      <w:r>
        <w:rPr>
          <w:rFonts w:hint="eastAsia"/>
          <w:color w:val="auto"/>
          <w:sz w:val="21"/>
          <w:szCs w:val="21"/>
          <w:highlight w:val="none"/>
          <w:lang w:val="en-US" w:eastAsia="zh-CN"/>
        </w:rPr>
        <w:t>结算价款的5</w:t>
      </w:r>
      <w:r>
        <w:rPr>
          <w:rFonts w:hint="eastAsia"/>
          <w:color w:val="auto"/>
          <w:sz w:val="21"/>
          <w:szCs w:val="21"/>
          <w:highlight w:val="none"/>
        </w:rPr>
        <w:t>%</w:t>
      </w:r>
      <w:r>
        <w:rPr>
          <w:rFonts w:hint="eastAsia"/>
          <w:color w:val="auto"/>
          <w:sz w:val="21"/>
          <w:szCs w:val="21"/>
          <w:highlight w:val="none"/>
          <w:lang w:val="en-US" w:eastAsia="zh-CN"/>
        </w:rPr>
        <w:t>作为</w:t>
      </w:r>
      <w:r>
        <w:rPr>
          <w:rFonts w:hint="eastAsia"/>
          <w:color w:val="auto"/>
          <w:sz w:val="21"/>
          <w:szCs w:val="21"/>
          <w:highlight w:val="none"/>
        </w:rPr>
        <w:t>质保金；质量缺陷责任期满一年后支付质保金。</w:t>
      </w:r>
    </w:p>
    <w:p w14:paraId="6F0CB8CB">
      <w:pPr>
        <w:pStyle w:val="6"/>
        <w:keepNext w:val="0"/>
        <w:keepLines w:val="0"/>
        <w:pageBreakBefore w:val="0"/>
        <w:kinsoku/>
        <w:wordWrap/>
        <w:overflowPunct/>
        <w:topLinePunct w:val="0"/>
        <w:autoSpaceDE/>
        <w:autoSpaceDN/>
        <w:bidi w:val="0"/>
        <w:adjustRightInd/>
        <w:snapToGrid/>
        <w:spacing w:before="37" w:line="500" w:lineRule="exact"/>
        <w:rPr>
          <w:color w:val="auto"/>
          <w:sz w:val="21"/>
          <w:szCs w:val="21"/>
          <w:highlight w:val="none"/>
        </w:rPr>
      </w:pPr>
      <w:r>
        <w:rPr>
          <w:rFonts w:hint="eastAsia"/>
          <w:color w:val="auto"/>
          <w:sz w:val="21"/>
          <w:szCs w:val="21"/>
          <w:highlight w:val="none"/>
          <w:lang w:val="en-US"/>
        </w:rPr>
        <w:t>七</w:t>
      </w:r>
      <w:r>
        <w:rPr>
          <w:color w:val="auto"/>
          <w:sz w:val="21"/>
          <w:szCs w:val="21"/>
          <w:highlight w:val="none"/>
        </w:rPr>
        <w:t>、工程质量标准要求</w:t>
      </w:r>
    </w:p>
    <w:p w14:paraId="622060F2">
      <w:pPr>
        <w:pStyle w:val="8"/>
        <w:keepNext w:val="0"/>
        <w:keepLines w:val="0"/>
        <w:pageBreakBefore w:val="0"/>
        <w:kinsoku/>
        <w:wordWrap/>
        <w:overflowPunct/>
        <w:topLinePunct w:val="0"/>
        <w:autoSpaceDE/>
        <w:autoSpaceDN/>
        <w:bidi w:val="0"/>
        <w:adjustRightInd/>
        <w:snapToGrid/>
        <w:spacing w:before="123" w:line="500" w:lineRule="exact"/>
        <w:ind w:left="132" w:right="318" w:firstLine="420"/>
        <w:rPr>
          <w:color w:val="auto"/>
          <w:sz w:val="21"/>
          <w:szCs w:val="21"/>
          <w:highlight w:val="none"/>
        </w:rPr>
      </w:pPr>
      <w:r>
        <w:rPr>
          <w:color w:val="auto"/>
          <w:w w:val="95"/>
          <w:sz w:val="21"/>
          <w:szCs w:val="21"/>
          <w:highlight w:val="none"/>
        </w:rPr>
        <w:t>1</w:t>
      </w:r>
      <w:r>
        <w:rPr>
          <w:color w:val="auto"/>
          <w:spacing w:val="-19"/>
          <w:w w:val="95"/>
          <w:sz w:val="21"/>
          <w:szCs w:val="21"/>
          <w:highlight w:val="none"/>
        </w:rPr>
        <w:t>、</w:t>
      </w:r>
      <w:r>
        <w:rPr>
          <w:rFonts w:hint="eastAsia" w:ascii="Times New Roman" w:hAnsi="Times New Roman" w:eastAsia="宋体" w:cs="Times New Roman"/>
          <w:color w:val="auto"/>
          <w:sz w:val="21"/>
          <w:szCs w:val="21"/>
          <w:highlight w:val="none"/>
        </w:rPr>
        <w:t>达到国家现行有关施工质量验收规范和标准的要求，一次性验收并达到合格标准</w:t>
      </w:r>
      <w:r>
        <w:rPr>
          <w:rFonts w:ascii="Times New Roman" w:hAnsi="Times New Roman" w:eastAsia="宋体" w:cs="Times New Roman"/>
          <w:color w:val="auto"/>
          <w:sz w:val="21"/>
          <w:szCs w:val="21"/>
          <w:highlight w:val="none"/>
        </w:rPr>
        <w:t>。</w:t>
      </w:r>
    </w:p>
    <w:p w14:paraId="0639E748">
      <w:pPr>
        <w:pStyle w:val="8"/>
        <w:keepNext w:val="0"/>
        <w:keepLines w:val="0"/>
        <w:pageBreakBefore w:val="0"/>
        <w:kinsoku/>
        <w:wordWrap/>
        <w:overflowPunct/>
        <w:topLinePunct w:val="0"/>
        <w:autoSpaceDE/>
        <w:autoSpaceDN/>
        <w:bidi w:val="0"/>
        <w:adjustRightInd/>
        <w:snapToGrid/>
        <w:spacing w:before="28" w:line="500" w:lineRule="exact"/>
        <w:ind w:left="132" w:right="424" w:firstLine="420"/>
        <w:rPr>
          <w:color w:val="auto"/>
          <w:sz w:val="21"/>
          <w:szCs w:val="21"/>
          <w:highlight w:val="none"/>
        </w:rPr>
      </w:pPr>
      <w:r>
        <w:rPr>
          <w:rFonts w:hint="eastAsia"/>
          <w:color w:val="auto"/>
          <w:w w:val="95"/>
          <w:sz w:val="21"/>
          <w:szCs w:val="21"/>
          <w:highlight w:val="none"/>
        </w:rPr>
        <w:t>2</w:t>
      </w:r>
      <w:r>
        <w:rPr>
          <w:color w:val="auto"/>
          <w:spacing w:val="-8"/>
          <w:w w:val="95"/>
          <w:sz w:val="21"/>
          <w:szCs w:val="21"/>
          <w:highlight w:val="none"/>
        </w:rPr>
        <w:t>、</w:t>
      </w:r>
      <w:r>
        <w:rPr>
          <w:color w:val="auto"/>
          <w:sz w:val="21"/>
          <w:szCs w:val="21"/>
          <w:highlight w:val="none"/>
        </w:rPr>
        <w:t>乙方严格按照施工图纸和施工图设计变更进行施工。建立、健全施工质量检验制度，严格工序管</w:t>
      </w:r>
      <w:r>
        <w:rPr>
          <w:rFonts w:hint="eastAsia"/>
          <w:color w:val="auto"/>
          <w:sz w:val="21"/>
          <w:szCs w:val="21"/>
          <w:highlight w:val="none"/>
        </w:rPr>
        <w:t>理</w:t>
      </w:r>
      <w:r>
        <w:rPr>
          <w:color w:val="auto"/>
          <w:sz w:val="21"/>
          <w:szCs w:val="21"/>
          <w:highlight w:val="none"/>
        </w:rPr>
        <w:t>，</w:t>
      </w:r>
      <w:r>
        <w:rPr>
          <w:color w:val="auto"/>
          <w:spacing w:val="-8"/>
          <w:sz w:val="21"/>
          <w:szCs w:val="21"/>
          <w:highlight w:val="none"/>
        </w:rPr>
        <w:t>做好隐蔽工程的质量检查和记录。</w:t>
      </w:r>
    </w:p>
    <w:p w14:paraId="351B0102">
      <w:pPr>
        <w:pStyle w:val="8"/>
        <w:keepNext w:val="0"/>
        <w:keepLines w:val="0"/>
        <w:pageBreakBefore w:val="0"/>
        <w:kinsoku/>
        <w:wordWrap/>
        <w:overflowPunct/>
        <w:topLinePunct w:val="0"/>
        <w:autoSpaceDE/>
        <w:autoSpaceDN/>
        <w:bidi w:val="0"/>
        <w:adjustRightInd/>
        <w:snapToGrid/>
        <w:spacing w:before="1" w:line="500" w:lineRule="exact"/>
        <w:ind w:left="132" w:right="317" w:firstLine="420"/>
        <w:rPr>
          <w:color w:val="auto"/>
          <w:sz w:val="21"/>
          <w:szCs w:val="21"/>
          <w:highlight w:val="none"/>
        </w:rPr>
      </w:pPr>
      <w:r>
        <w:rPr>
          <w:rFonts w:hint="eastAsia"/>
          <w:color w:val="auto"/>
          <w:sz w:val="21"/>
          <w:szCs w:val="21"/>
          <w:highlight w:val="none"/>
        </w:rPr>
        <w:t>3</w:t>
      </w:r>
      <w:r>
        <w:rPr>
          <w:color w:val="auto"/>
          <w:spacing w:val="-9"/>
          <w:sz w:val="21"/>
          <w:szCs w:val="21"/>
          <w:highlight w:val="none"/>
        </w:rPr>
        <w:t>、工程完工后，由乙方向甲方提交完工验收申请书，同时附验收申请、竣工图纸、隐蔽工程验收签</w:t>
      </w:r>
      <w:r>
        <w:rPr>
          <w:color w:val="auto"/>
          <w:sz w:val="21"/>
          <w:szCs w:val="21"/>
          <w:highlight w:val="none"/>
        </w:rPr>
        <w:t>证单、单元工程质量评定表、工程造价结算单、质量检测报告和监理报告、项目预决算报告、竣</w:t>
      </w:r>
      <w:r>
        <w:rPr>
          <w:color w:val="auto"/>
          <w:spacing w:val="-12"/>
          <w:sz w:val="21"/>
          <w:szCs w:val="21"/>
          <w:highlight w:val="none"/>
        </w:rPr>
        <w:t xml:space="preserve">工验收文件和项目移交手续等。甲方在收到乙方申请书 </w:t>
      </w:r>
      <w:r>
        <w:rPr>
          <w:rFonts w:hint="eastAsia"/>
          <w:color w:val="auto"/>
          <w:sz w:val="21"/>
          <w:szCs w:val="21"/>
          <w:highlight w:val="none"/>
        </w:rPr>
        <w:t>10</w:t>
      </w:r>
      <w:r>
        <w:rPr>
          <w:color w:val="auto"/>
          <w:spacing w:val="-8"/>
          <w:sz w:val="21"/>
          <w:szCs w:val="21"/>
          <w:highlight w:val="none"/>
        </w:rPr>
        <w:t>日内，甲方组织相关人员进行完工验收。</w:t>
      </w:r>
    </w:p>
    <w:p w14:paraId="60147A92">
      <w:pPr>
        <w:pStyle w:val="8"/>
        <w:keepNext w:val="0"/>
        <w:keepLines w:val="0"/>
        <w:pageBreakBefore w:val="0"/>
        <w:kinsoku/>
        <w:wordWrap/>
        <w:overflowPunct/>
        <w:topLinePunct w:val="0"/>
        <w:autoSpaceDE/>
        <w:autoSpaceDN/>
        <w:bidi w:val="0"/>
        <w:adjustRightInd/>
        <w:snapToGrid/>
        <w:spacing w:before="178" w:line="500" w:lineRule="exact"/>
        <w:ind w:left="132" w:firstLine="632" w:firstLineChars="300"/>
        <w:rPr>
          <w:color w:val="auto"/>
          <w:szCs w:val="21"/>
          <w:highlight w:val="none"/>
        </w:rPr>
      </w:pPr>
      <w:r>
        <w:rPr>
          <w:rFonts w:hint="eastAsia" w:ascii="宋体" w:hAnsi="宋体" w:eastAsia="宋体" w:cs="宋体"/>
          <w:b/>
          <w:bCs/>
          <w:color w:val="auto"/>
          <w:kern w:val="2"/>
          <w:sz w:val="21"/>
          <w:szCs w:val="21"/>
          <w:highlight w:val="none"/>
          <w:lang w:val="zh-CN" w:eastAsia="zh-CN" w:bidi="zh-CN"/>
        </w:rPr>
        <w:t>八</w:t>
      </w:r>
      <w:r>
        <w:rPr>
          <w:rFonts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kern w:val="2"/>
          <w:sz w:val="21"/>
          <w:szCs w:val="21"/>
          <w:highlight w:val="none"/>
          <w:lang w:val="zh-CN" w:eastAsia="zh-CN" w:bidi="zh-CN"/>
        </w:rPr>
        <w:t>缺陷</w:t>
      </w:r>
      <w:r>
        <w:rPr>
          <w:rFonts w:ascii="宋体" w:hAnsi="宋体" w:eastAsia="宋体" w:cs="宋体"/>
          <w:b/>
          <w:bCs/>
          <w:color w:val="auto"/>
          <w:kern w:val="2"/>
          <w:sz w:val="21"/>
          <w:szCs w:val="21"/>
          <w:highlight w:val="none"/>
          <w:lang w:val="zh-CN" w:eastAsia="zh-CN" w:bidi="zh-CN"/>
        </w:rPr>
        <w:t>责任期及工程质保金</w:t>
      </w:r>
    </w:p>
    <w:p w14:paraId="33821692">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rFonts w:hint="eastAsia" w:ascii="Times New Roman" w:hAnsi="Times New Roman" w:eastAsia="宋体" w:cs="Times New Roman"/>
          <w:color w:val="auto"/>
          <w:sz w:val="21"/>
          <w:szCs w:val="21"/>
          <w:highlight w:val="none"/>
          <w:lang w:eastAsia="zh-CN"/>
        </w:rPr>
      </w:pPr>
      <w:r>
        <w:rPr>
          <w:color w:val="auto"/>
          <w:sz w:val="21"/>
          <w:szCs w:val="21"/>
          <w:highlight w:val="none"/>
        </w:rPr>
        <w:t>工程缺陷责任期为</w:t>
      </w:r>
      <w:r>
        <w:rPr>
          <w:color w:val="auto"/>
          <w:sz w:val="21"/>
          <w:szCs w:val="21"/>
          <w:highlight w:val="none"/>
          <w:u w:val="single"/>
        </w:rPr>
        <w:t xml:space="preserve"> 12</w:t>
      </w:r>
      <w:r>
        <w:rPr>
          <w:color w:val="auto"/>
          <w:sz w:val="21"/>
          <w:szCs w:val="21"/>
          <w:highlight w:val="none"/>
        </w:rPr>
        <w:t xml:space="preserve"> 个月，缺陷责任期自工程竣工验收合格之日起计</w:t>
      </w:r>
      <w:r>
        <w:rPr>
          <w:rFonts w:ascii="Times New Roman" w:hAnsi="Times New Roman" w:eastAsia="宋体" w:cs="Times New Roman"/>
          <w:color w:val="auto"/>
          <w:sz w:val="21"/>
          <w:szCs w:val="21"/>
          <w:highlight w:val="none"/>
        </w:rPr>
        <w:t>算</w:t>
      </w:r>
      <w:r>
        <w:rPr>
          <w:rFonts w:hint="eastAsia" w:ascii="Times New Roman" w:hAnsi="Times New Roman" w:eastAsia="宋体" w:cs="Times New Roman"/>
          <w:color w:val="auto"/>
          <w:sz w:val="21"/>
          <w:szCs w:val="21"/>
          <w:highlight w:val="none"/>
          <w:lang w:eastAsia="zh-CN"/>
        </w:rPr>
        <w:t>；</w:t>
      </w:r>
    </w:p>
    <w:p w14:paraId="3554E53A">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color w:val="auto"/>
          <w:sz w:val="21"/>
          <w:szCs w:val="21"/>
          <w:highlight w:val="none"/>
        </w:rPr>
      </w:pPr>
      <w:r>
        <w:rPr>
          <w:rFonts w:ascii="Times New Roman" w:hAnsi="Times New Roman" w:eastAsia="宋体" w:cs="Times New Roman"/>
          <w:color w:val="auto"/>
          <w:sz w:val="21"/>
          <w:szCs w:val="21"/>
          <w:highlight w:val="none"/>
        </w:rPr>
        <w:t>质量保证金按照结算价款总额的</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%计取，</w:t>
      </w:r>
      <w:r>
        <w:rPr>
          <w:color w:val="auto"/>
          <w:sz w:val="21"/>
          <w:szCs w:val="21"/>
          <w:highlight w:val="none"/>
        </w:rPr>
        <w:t>从竣工验收合格之日起计算，质保期满后若无任何质量缺陷问题，则甲方一次性无息退还。</w:t>
      </w:r>
    </w:p>
    <w:p w14:paraId="15976889">
      <w:pPr>
        <w:pStyle w:val="8"/>
        <w:keepNext w:val="0"/>
        <w:keepLines w:val="0"/>
        <w:pageBreakBefore w:val="0"/>
        <w:kinsoku/>
        <w:wordWrap/>
        <w:overflowPunct/>
        <w:topLinePunct w:val="0"/>
        <w:autoSpaceDE/>
        <w:autoSpaceDN/>
        <w:bidi w:val="0"/>
        <w:adjustRightInd/>
        <w:snapToGrid/>
        <w:spacing w:before="160" w:line="500" w:lineRule="exact"/>
        <w:ind w:left="132" w:right="493" w:firstLine="655" w:firstLineChars="328"/>
        <w:rPr>
          <w:color w:val="auto"/>
          <w:sz w:val="21"/>
          <w:szCs w:val="21"/>
          <w:highlight w:val="none"/>
        </w:rPr>
      </w:pPr>
      <w:r>
        <w:rPr>
          <w:rFonts w:hint="eastAsia"/>
          <w:b/>
          <w:color w:val="auto"/>
          <w:w w:val="95"/>
          <w:sz w:val="21"/>
          <w:szCs w:val="21"/>
          <w:highlight w:val="none"/>
          <w:lang w:val="en-US" w:eastAsia="zh-CN"/>
        </w:rPr>
        <w:t>九</w:t>
      </w:r>
      <w:r>
        <w:rPr>
          <w:b/>
          <w:color w:val="auto"/>
          <w:w w:val="95"/>
          <w:sz w:val="21"/>
          <w:szCs w:val="21"/>
          <w:highlight w:val="none"/>
        </w:rPr>
        <w:t>、工程安全管理：</w:t>
      </w:r>
      <w:r>
        <w:rPr>
          <w:color w:val="auto"/>
          <w:sz w:val="21"/>
          <w:szCs w:val="21"/>
          <w:highlight w:val="none"/>
        </w:rPr>
        <w:t>乙方必须按照与甲方所签订的《建设工程安全责任协议书》有关规定执行，并自觉接受甲方对该工程项目的安全检查。</w:t>
      </w:r>
    </w:p>
    <w:p w14:paraId="783418A8">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十、乙方拟派主要管理人员及要求</w:t>
      </w:r>
    </w:p>
    <w:p w14:paraId="6EFCA868">
      <w:pPr>
        <w:pStyle w:val="8"/>
        <w:keepNext w:val="0"/>
        <w:keepLines w:val="0"/>
        <w:pageBreakBefore w:val="0"/>
        <w:tabs>
          <w:tab w:val="left" w:pos="2023"/>
          <w:tab w:val="left" w:pos="4438"/>
          <w:tab w:val="left" w:pos="7063"/>
          <w:tab w:val="left" w:pos="9372"/>
        </w:tabs>
        <w:kinsoku/>
        <w:wordWrap/>
        <w:overflowPunct/>
        <w:topLinePunct w:val="0"/>
        <w:autoSpaceDE/>
        <w:autoSpaceDN/>
        <w:bidi w:val="0"/>
        <w:adjustRightInd/>
        <w:snapToGrid/>
        <w:spacing w:before="179" w:line="500" w:lineRule="exact"/>
        <w:ind w:left="132" w:right="443" w:firstLine="420"/>
        <w:rPr>
          <w:rFonts w:hint="eastAsia"/>
          <w:color w:val="auto"/>
          <w:sz w:val="21"/>
          <w:szCs w:val="21"/>
          <w:highlight w:val="none"/>
        </w:rPr>
      </w:pPr>
      <w:r>
        <w:rPr>
          <w:color w:val="auto"/>
          <w:sz w:val="21"/>
          <w:szCs w:val="21"/>
          <w:highlight w:val="none"/>
        </w:rPr>
        <w:t>乙方承诺</w:t>
      </w:r>
      <w:r>
        <w:rPr>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为本工程项目经理，</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为本工程技术负责人</w:t>
      </w:r>
      <w:r>
        <w:rPr>
          <w:rFonts w:hint="eastAsia"/>
          <w:color w:val="auto"/>
          <w:sz w:val="21"/>
          <w:szCs w:val="21"/>
          <w:highlight w:val="none"/>
        </w:rPr>
        <w:t>，</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本工程质检员（或质量员），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本工程施工员，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w:t>
      </w:r>
      <w:r>
        <w:rPr>
          <w:rFonts w:hint="eastAsia"/>
          <w:color w:val="auto"/>
          <w:sz w:val="21"/>
          <w:szCs w:val="21"/>
          <w:highlight w:val="none"/>
          <w:lang w:val="en-US" w:eastAsia="zh-CN"/>
        </w:rPr>
        <w:t>专职安全生产管理人员</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本工程材料员，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本工程造价员或造价工程师。</w:t>
      </w:r>
    </w:p>
    <w:p w14:paraId="475771EE">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rFonts w:hint="eastAsia"/>
          <w:color w:val="auto"/>
          <w:sz w:val="21"/>
          <w:szCs w:val="21"/>
          <w:highlight w:val="none"/>
        </w:rPr>
      </w:pPr>
      <w:r>
        <w:rPr>
          <w:rFonts w:hint="eastAsia"/>
          <w:color w:val="auto"/>
          <w:sz w:val="21"/>
          <w:szCs w:val="21"/>
          <w:highlight w:val="none"/>
        </w:rPr>
        <w:t>注：1、</w:t>
      </w:r>
      <w:r>
        <w:rPr>
          <w:color w:val="auto"/>
          <w:sz w:val="21"/>
          <w:szCs w:val="21"/>
          <w:highlight w:val="none"/>
        </w:rPr>
        <w:t>甲方根据项目实际情况及工程进度对拟派现场管理人员人数进行要求，乙方需无条件配合。所有拟派人员必须有满足要求的上岗证书或执业资格证并持证上岗，在签订施工合同后，乙方需将上述人员上岗证书或职业资格证复印件报甲方备案。</w:t>
      </w:r>
    </w:p>
    <w:p w14:paraId="6EDB1C64">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color w:val="auto"/>
          <w:sz w:val="21"/>
          <w:szCs w:val="21"/>
          <w:highlight w:val="none"/>
        </w:rPr>
      </w:pPr>
      <w:r>
        <w:rPr>
          <w:rFonts w:hint="eastAsia"/>
          <w:color w:val="auto"/>
          <w:sz w:val="21"/>
          <w:szCs w:val="21"/>
          <w:highlight w:val="none"/>
        </w:rPr>
        <w:t>2、乙方拟派人员每月在施工现场的时间不少于22天，甲方根据现场考勤对考勤天数未达到要求及突击检查发现人员不在现场情况按以下标准处罚：项目经理及技术负责人按5000元/人*次进行处罚，其他人员按2000元/人*次进行处罚。</w:t>
      </w:r>
    </w:p>
    <w:p w14:paraId="73931A82">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一</w:t>
      </w:r>
      <w:r>
        <w:rPr>
          <w:color w:val="auto"/>
          <w:sz w:val="21"/>
          <w:szCs w:val="21"/>
          <w:highlight w:val="none"/>
        </w:rPr>
        <w:t>、双方责任</w:t>
      </w:r>
    </w:p>
    <w:p w14:paraId="1329BB9C">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甲方负责督促乙方按期保质保量完成修建任务并负责周边公用设施及进出场通道的保护工作，</w:t>
      </w:r>
      <w:r>
        <w:rPr>
          <w:rFonts w:hint="eastAsia"/>
          <w:color w:val="auto"/>
          <w:spacing w:val="-3"/>
          <w:szCs w:val="21"/>
          <w:highlight w:val="none"/>
          <w:lang w:val="en-US"/>
        </w:rPr>
        <w:t>如</w:t>
      </w:r>
      <w:r>
        <w:rPr>
          <w:color w:val="auto"/>
          <w:spacing w:val="-3"/>
          <w:szCs w:val="21"/>
          <w:highlight w:val="none"/>
        </w:rPr>
        <w:t>乙方未采取相关措施，甲方有权要求暂停施工，直至保护措施到位后方可复工，如造成相关损失的需进行赔偿。</w:t>
      </w:r>
    </w:p>
    <w:p w14:paraId="515A1E67">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pacing w:val="-3"/>
          <w:szCs w:val="21"/>
          <w:highlight w:val="none"/>
        </w:rPr>
      </w:pPr>
      <w:r>
        <w:rPr>
          <w:color w:val="auto"/>
          <w:spacing w:val="-3"/>
          <w:szCs w:val="21"/>
          <w:highlight w:val="none"/>
        </w:rPr>
        <w:t>乙方施工中必须采取有效的安全防范措施，严格按照安全、科学的规范操作。施工中如发生伤亡责任事故，必须按法定程序和时限报告有关部门，不得拖延、隐瞒不报。乙方应对安全生产、防范措施、环境、市容、卫生等负责。施工过程中发生的所有责任事故及经济损失均由乙方自行承担，甲方概不负责。</w:t>
      </w:r>
    </w:p>
    <w:p w14:paraId="39C5B543">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乙方需按期保质保量完成修建任务并负责周边公用设施的保护工作，并对该项目的质量负全责，项目使用过程中，由质量问题造成所有的责任事故及经济损失均由乙方自行负责，甲方概不负责。</w:t>
      </w:r>
    </w:p>
    <w:p w14:paraId="4057FF41">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jc w:val="left"/>
        <w:rPr>
          <w:color w:val="auto"/>
          <w:szCs w:val="21"/>
          <w:highlight w:val="none"/>
        </w:rPr>
      </w:pPr>
      <w:r>
        <w:rPr>
          <w:color w:val="auto"/>
          <w:spacing w:val="-3"/>
          <w:szCs w:val="21"/>
          <w:highlight w:val="none"/>
        </w:rPr>
        <w:t>乙方必须自觉服从甲方及各行政主管职能部门管理，切实搞好项目施工管理工作，因违反国家有关</w:t>
      </w:r>
      <w:r>
        <w:rPr>
          <w:color w:val="auto"/>
          <w:szCs w:val="21"/>
          <w:highlight w:val="none"/>
        </w:rPr>
        <w:t>规定造成的罚款或其他责任由乙方承担；</w:t>
      </w:r>
    </w:p>
    <w:p w14:paraId="5A84F88A">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乙方必须在保险部门为所有施工人员按规定交纳相应保险。</w:t>
      </w:r>
    </w:p>
    <w:p w14:paraId="2EFB3DDE">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本项目在实施过程中发生的一切损害及纠纷，由乙方自行解决并承担相应赔偿责任。</w:t>
      </w:r>
    </w:p>
    <w:p w14:paraId="7EC3C1BA">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工程竣工后，乙方在工程竣工后，将本工程所有竣工资料共三份移交给甲方，同时，乙方按国</w:t>
      </w:r>
      <w:r>
        <w:rPr>
          <w:color w:val="auto"/>
          <w:szCs w:val="21"/>
          <w:highlight w:val="none"/>
        </w:rPr>
        <w:t>家有关规定及甲方归档要求，做好工程技术档案存档工作。</w:t>
      </w:r>
    </w:p>
    <w:p w14:paraId="0507F175">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乙方在整个施工期间应为其工作人员提供必要的安全防护和劳动保护用品、人身保险，保险费   用由乙方承担。施工期间乙方发生的任何人身伤亡、伤残、疾病和财产损失等均由乙方负责，并承担所有</w:t>
      </w:r>
      <w:r>
        <w:rPr>
          <w:color w:val="auto"/>
          <w:szCs w:val="21"/>
          <w:highlight w:val="none"/>
        </w:rPr>
        <w:t>费用。</w:t>
      </w:r>
      <w:r>
        <w:rPr>
          <w:color w:val="auto"/>
          <w:spacing w:val="-3"/>
          <w:szCs w:val="21"/>
          <w:highlight w:val="none"/>
        </w:rPr>
        <w:t>乙方必须服从甲方的指挥和监督，在施工中出现质量问题，乙方必须无条件立即返工，并承担返</w:t>
      </w:r>
      <w:r>
        <w:rPr>
          <w:color w:val="auto"/>
          <w:spacing w:val="-4"/>
          <w:szCs w:val="21"/>
          <w:highlight w:val="none"/>
        </w:rPr>
        <w:t>工的一切费用。若乙方拒不执行，甲方有权单方终止合同。</w:t>
      </w:r>
    </w:p>
    <w:p w14:paraId="700F8FD3">
      <w:pPr>
        <w:pStyle w:val="7"/>
        <w:keepNext w:val="0"/>
        <w:keepLines w:val="0"/>
        <w:pageBreakBefore w:val="0"/>
        <w:kinsoku/>
        <w:wordWrap/>
        <w:overflowPunct/>
        <w:topLinePunct w:val="0"/>
        <w:autoSpaceDE/>
        <w:autoSpaceDN/>
        <w:bidi w:val="0"/>
        <w:adjustRightInd/>
        <w:snapToGrid/>
        <w:spacing w:before="0" w:line="500" w:lineRule="exact"/>
        <w:rPr>
          <w:b/>
          <w:color w:val="auto"/>
          <w:sz w:val="21"/>
          <w:szCs w:val="21"/>
          <w:highlight w:val="none"/>
        </w:rPr>
      </w:pPr>
      <w:r>
        <w:rPr>
          <w:color w:val="auto"/>
          <w:highlight w:val="none"/>
        </w:rPr>
        <w:t>十</w:t>
      </w:r>
      <w:r>
        <w:rPr>
          <w:rFonts w:hint="eastAsia"/>
          <w:color w:val="auto"/>
          <w:highlight w:val="none"/>
          <w:lang w:val="en-US" w:eastAsia="zh-CN"/>
        </w:rPr>
        <w:t>二</w:t>
      </w:r>
      <w:r>
        <w:rPr>
          <w:color w:val="auto"/>
          <w:highlight w:val="none"/>
        </w:rPr>
        <w:t>、违约责任</w:t>
      </w:r>
    </w:p>
    <w:p w14:paraId="43472723">
      <w:pPr>
        <w:pStyle w:val="8"/>
        <w:keepNext w:val="0"/>
        <w:keepLines w:val="0"/>
        <w:pageBreakBefore w:val="0"/>
        <w:kinsoku/>
        <w:wordWrap/>
        <w:overflowPunct/>
        <w:topLinePunct w:val="0"/>
        <w:autoSpaceDE/>
        <w:autoSpaceDN/>
        <w:bidi w:val="0"/>
        <w:adjustRightInd/>
        <w:snapToGrid/>
        <w:spacing w:line="500" w:lineRule="exact"/>
        <w:ind w:left="449"/>
        <w:rPr>
          <w:color w:val="auto"/>
          <w:sz w:val="21"/>
          <w:szCs w:val="21"/>
          <w:highlight w:val="none"/>
        </w:rPr>
      </w:pPr>
      <w:r>
        <w:rPr>
          <w:rFonts w:eastAsia="Times New Roman"/>
          <w:color w:val="auto"/>
          <w:sz w:val="21"/>
          <w:szCs w:val="21"/>
          <w:highlight w:val="none"/>
        </w:rPr>
        <w:t>1</w:t>
      </w:r>
      <w:r>
        <w:rPr>
          <w:color w:val="auto"/>
          <w:sz w:val="21"/>
          <w:szCs w:val="21"/>
          <w:highlight w:val="none"/>
        </w:rPr>
        <w:t>、乙方其他违约责任的承担方式和计算方法：</w:t>
      </w:r>
    </w:p>
    <w:p w14:paraId="07AE6894">
      <w:pPr>
        <w:pStyle w:val="29"/>
        <w:keepNext w:val="0"/>
        <w:keepLines w:val="0"/>
        <w:pageBreakBefore w:val="0"/>
        <w:numPr>
          <w:ilvl w:val="0"/>
          <w:numId w:val="9"/>
        </w:numPr>
        <w:tabs>
          <w:tab w:val="left" w:pos="870"/>
        </w:tabs>
        <w:kinsoku/>
        <w:wordWrap/>
        <w:overflowPunct/>
        <w:topLinePunct w:val="0"/>
        <w:autoSpaceDE/>
        <w:autoSpaceDN/>
        <w:bidi w:val="0"/>
        <w:adjustRightInd/>
        <w:snapToGrid/>
        <w:spacing w:line="500" w:lineRule="exact"/>
        <w:jc w:val="left"/>
        <w:rPr>
          <w:color w:val="auto"/>
          <w:sz w:val="21"/>
          <w:szCs w:val="21"/>
          <w:highlight w:val="none"/>
        </w:rPr>
      </w:pPr>
      <w:r>
        <w:rPr>
          <w:color w:val="auto"/>
          <w:spacing w:val="-2"/>
          <w:szCs w:val="21"/>
          <w:highlight w:val="none"/>
        </w:rPr>
        <w:t xml:space="preserve">因乙方原因造成本合同无法履行，甲方有权解除或终止本合同，乙方应向甲方按合同总价的 </w:t>
      </w:r>
      <w:r>
        <w:rPr>
          <w:rFonts w:ascii="Times New Roman" w:eastAsia="Times New Roman"/>
          <w:color w:val="auto"/>
          <w:szCs w:val="21"/>
          <w:highlight w:val="none"/>
        </w:rPr>
        <w:t>5%</w:t>
      </w:r>
    </w:p>
    <w:p w14:paraId="1334E6A2">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支付违约金，并赔偿因违约给对方造成的实际经济损失。</w:t>
      </w:r>
    </w:p>
    <w:p w14:paraId="4BBB6621">
      <w:pPr>
        <w:pStyle w:val="29"/>
        <w:keepNext w:val="0"/>
        <w:keepLines w:val="0"/>
        <w:pageBreakBefore w:val="0"/>
        <w:numPr>
          <w:ilvl w:val="0"/>
          <w:numId w:val="9"/>
        </w:numPr>
        <w:tabs>
          <w:tab w:val="left" w:pos="882"/>
        </w:tabs>
        <w:kinsoku/>
        <w:wordWrap/>
        <w:overflowPunct/>
        <w:topLinePunct w:val="0"/>
        <w:autoSpaceDE/>
        <w:autoSpaceDN/>
        <w:bidi w:val="0"/>
        <w:adjustRightInd/>
        <w:snapToGrid/>
        <w:spacing w:line="500" w:lineRule="exact"/>
        <w:ind w:left="881" w:hanging="538"/>
        <w:jc w:val="left"/>
        <w:rPr>
          <w:color w:val="auto"/>
          <w:sz w:val="21"/>
          <w:szCs w:val="21"/>
          <w:highlight w:val="none"/>
        </w:rPr>
      </w:pPr>
      <w:r>
        <w:rPr>
          <w:color w:val="auto"/>
          <w:szCs w:val="21"/>
          <w:highlight w:val="none"/>
        </w:rPr>
        <w:t xml:space="preserve">因乙方原因造成工期延误，逾期竣工违约金的计算方法为： 每延误一天，乙方支付甲方 </w:t>
      </w:r>
      <w:r>
        <w:rPr>
          <w:rFonts w:ascii="Times New Roman" w:eastAsia="Times New Roman"/>
          <w:color w:val="auto"/>
          <w:szCs w:val="21"/>
          <w:highlight w:val="none"/>
        </w:rPr>
        <w:t>1000</w:t>
      </w:r>
    </w:p>
    <w:p w14:paraId="5FB3F7F9">
      <w:pPr>
        <w:pStyle w:val="8"/>
        <w:keepNext w:val="0"/>
        <w:keepLines w:val="0"/>
        <w:pageBreakBefore w:val="0"/>
        <w:kinsoku/>
        <w:wordWrap/>
        <w:overflowPunct/>
        <w:topLinePunct w:val="0"/>
        <w:autoSpaceDE/>
        <w:autoSpaceDN/>
        <w:bidi w:val="0"/>
        <w:adjustRightInd/>
        <w:snapToGrid/>
        <w:spacing w:line="500" w:lineRule="exact"/>
        <w:ind w:left="132" w:right="424"/>
        <w:rPr>
          <w:color w:val="auto"/>
          <w:sz w:val="21"/>
          <w:szCs w:val="21"/>
          <w:highlight w:val="none"/>
        </w:rPr>
      </w:pPr>
      <w:r>
        <w:rPr>
          <w:color w:val="auto"/>
          <w:sz w:val="21"/>
          <w:szCs w:val="21"/>
          <w:highlight w:val="none"/>
        </w:rPr>
        <w:t xml:space="preserve">元违约金，按照延误天数累计计算，违约金累计最多不超过合同总额的 </w:t>
      </w:r>
      <w:r>
        <w:rPr>
          <w:rFonts w:eastAsia="Times New Roman"/>
          <w:color w:val="auto"/>
          <w:sz w:val="21"/>
          <w:szCs w:val="21"/>
          <w:highlight w:val="none"/>
        </w:rPr>
        <w:t xml:space="preserve">5% </w:t>
      </w:r>
      <w:r>
        <w:rPr>
          <w:color w:val="auto"/>
          <w:sz w:val="21"/>
          <w:szCs w:val="21"/>
          <w:highlight w:val="none"/>
        </w:rPr>
        <w:t>且造成甲方其它损失的另行计算。</w:t>
      </w:r>
    </w:p>
    <w:p w14:paraId="452F06E8">
      <w:pPr>
        <w:pStyle w:val="29"/>
        <w:keepNext w:val="0"/>
        <w:keepLines w:val="0"/>
        <w:pageBreakBefore w:val="0"/>
        <w:numPr>
          <w:ilvl w:val="0"/>
          <w:numId w:val="9"/>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7"/>
          <w:szCs w:val="21"/>
          <w:highlight w:val="none"/>
        </w:rPr>
        <w:t xml:space="preserve">承包人应在完工 </w:t>
      </w:r>
      <w:r>
        <w:rPr>
          <w:rFonts w:hint="eastAsia"/>
          <w:color w:val="auto"/>
          <w:spacing w:val="-7"/>
          <w:szCs w:val="21"/>
          <w:highlight w:val="none"/>
          <w:lang w:val="en-US"/>
        </w:rPr>
        <w:t>1</w:t>
      </w:r>
      <w:r>
        <w:rPr>
          <w:color w:val="auto"/>
          <w:spacing w:val="-3"/>
          <w:szCs w:val="21"/>
          <w:highlight w:val="none"/>
        </w:rPr>
        <w:t>个月内完善竣工验收程序且通过验收，如承包人不按时提交，超过规定时间每</w:t>
      </w:r>
    </w:p>
    <w:p w14:paraId="1A82C142">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 xml:space="preserve">延误一天承包人支付发包人 </w:t>
      </w:r>
      <w:r>
        <w:rPr>
          <w:rFonts w:eastAsia="Times New Roman"/>
          <w:color w:val="auto"/>
          <w:sz w:val="21"/>
          <w:szCs w:val="21"/>
          <w:highlight w:val="none"/>
        </w:rPr>
        <w:t xml:space="preserve">1000 </w:t>
      </w:r>
      <w:r>
        <w:rPr>
          <w:color w:val="auto"/>
          <w:sz w:val="21"/>
          <w:szCs w:val="21"/>
          <w:highlight w:val="none"/>
        </w:rPr>
        <w:t>元违约金。</w:t>
      </w:r>
    </w:p>
    <w:p w14:paraId="6A523F67">
      <w:pPr>
        <w:pStyle w:val="29"/>
        <w:keepNext w:val="0"/>
        <w:keepLines w:val="0"/>
        <w:pageBreakBefore w:val="0"/>
        <w:numPr>
          <w:ilvl w:val="0"/>
          <w:numId w:val="9"/>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2"/>
          <w:szCs w:val="21"/>
          <w:highlight w:val="none"/>
        </w:rPr>
        <w:t>承包人有安全问题或有违反安全管理规章制度情况的违约责任：根据具体情节，按签约合同价的</w:t>
      </w:r>
    </w:p>
    <w:p w14:paraId="30D7B9E7">
      <w:pPr>
        <w:pStyle w:val="29"/>
        <w:keepNext w:val="0"/>
        <w:keepLines w:val="0"/>
        <w:pageBreakBefore w:val="0"/>
        <w:numPr>
          <w:ilvl w:val="1"/>
          <w:numId w:val="10"/>
        </w:numPr>
        <w:tabs>
          <w:tab w:val="left" w:pos="397"/>
        </w:tabs>
        <w:kinsoku/>
        <w:wordWrap/>
        <w:overflowPunct/>
        <w:topLinePunct w:val="0"/>
        <w:autoSpaceDE/>
        <w:autoSpaceDN/>
        <w:bidi w:val="0"/>
        <w:adjustRightInd/>
        <w:snapToGrid/>
        <w:spacing w:before="1" w:line="500" w:lineRule="exact"/>
        <w:ind w:hanging="265"/>
        <w:jc w:val="left"/>
        <w:rPr>
          <w:color w:val="auto"/>
          <w:sz w:val="21"/>
          <w:szCs w:val="21"/>
          <w:highlight w:val="none"/>
        </w:rPr>
      </w:pPr>
      <w:r>
        <w:rPr>
          <w:color w:val="auto"/>
          <w:szCs w:val="21"/>
          <w:highlight w:val="none"/>
        </w:rPr>
        <w:t>‰～</w:t>
      </w:r>
      <w:r>
        <w:rPr>
          <w:rFonts w:ascii="Times New Roman" w:hAnsi="Times New Roman" w:eastAsia="Times New Roman"/>
          <w:color w:val="auto"/>
          <w:szCs w:val="21"/>
          <w:highlight w:val="none"/>
        </w:rPr>
        <w:t>4</w:t>
      </w:r>
      <w:r>
        <w:rPr>
          <w:color w:val="auto"/>
          <w:szCs w:val="21"/>
          <w:highlight w:val="none"/>
        </w:rPr>
        <w:t>‰</w:t>
      </w:r>
      <w:r>
        <w:rPr>
          <w:rFonts w:ascii="Times New Roman" w:hAnsi="Times New Roman" w:eastAsia="Times New Roman"/>
          <w:color w:val="auto"/>
          <w:szCs w:val="21"/>
          <w:highlight w:val="none"/>
        </w:rPr>
        <w:t>/</w:t>
      </w:r>
      <w:r>
        <w:rPr>
          <w:color w:val="auto"/>
          <w:szCs w:val="21"/>
          <w:highlight w:val="none"/>
        </w:rPr>
        <w:t>次支付违约金（</w:t>
      </w:r>
      <w:r>
        <w:rPr>
          <w:color w:val="auto"/>
          <w:spacing w:val="-5"/>
          <w:szCs w:val="21"/>
          <w:highlight w:val="none"/>
        </w:rPr>
        <w:t xml:space="preserve">累计不超过签约合同价的 </w:t>
      </w:r>
      <w:r>
        <w:rPr>
          <w:rFonts w:ascii="Times New Roman" w:hAnsi="Times New Roman" w:eastAsia="Times New Roman"/>
          <w:color w:val="auto"/>
          <w:szCs w:val="21"/>
          <w:highlight w:val="none"/>
        </w:rPr>
        <w:t>1%</w:t>
      </w:r>
      <w:r>
        <w:rPr>
          <w:color w:val="auto"/>
          <w:spacing w:val="-9"/>
          <w:szCs w:val="21"/>
          <w:highlight w:val="none"/>
        </w:rPr>
        <w:t xml:space="preserve">，详见附件 </w:t>
      </w:r>
      <w:r>
        <w:rPr>
          <w:rFonts w:ascii="Times New Roman" w:hAnsi="Times New Roman" w:eastAsia="Times New Roman"/>
          <w:color w:val="auto"/>
          <w:szCs w:val="21"/>
          <w:highlight w:val="none"/>
        </w:rPr>
        <w:t>3</w:t>
      </w:r>
      <w:r>
        <w:rPr>
          <w:rFonts w:ascii="Times New Roman" w:hAnsi="Times New Roman" w:eastAsia="Times New Roman"/>
          <w:color w:val="auto"/>
          <w:spacing w:val="1"/>
          <w:szCs w:val="21"/>
          <w:highlight w:val="none"/>
        </w:rPr>
        <w:t xml:space="preserve"> </w:t>
      </w:r>
      <w:r>
        <w:rPr>
          <w:color w:val="auto"/>
          <w:szCs w:val="21"/>
          <w:highlight w:val="none"/>
        </w:rPr>
        <w:t>安全管理协议）。</w:t>
      </w:r>
    </w:p>
    <w:p w14:paraId="1CB60BA6">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rFonts w:eastAsia="Times New Roman"/>
          <w:color w:val="auto"/>
          <w:sz w:val="21"/>
          <w:szCs w:val="21"/>
          <w:highlight w:val="none"/>
        </w:rPr>
        <w:t>2</w:t>
      </w:r>
      <w:r>
        <w:rPr>
          <w:color w:val="auto"/>
          <w:sz w:val="21"/>
          <w:szCs w:val="21"/>
          <w:highlight w:val="none"/>
        </w:rPr>
        <w:t>、甲方违约责任的承担方式和计算方法：</w:t>
      </w:r>
    </w:p>
    <w:p w14:paraId="32C2C5FC">
      <w:pPr>
        <w:pStyle w:val="29"/>
        <w:keepNext w:val="0"/>
        <w:keepLines w:val="0"/>
        <w:pageBreakBefore w:val="0"/>
        <w:numPr>
          <w:ilvl w:val="2"/>
          <w:numId w:val="10"/>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pacing w:val="-2"/>
          <w:szCs w:val="21"/>
          <w:highlight w:val="none"/>
        </w:rPr>
        <w:t>如因甲方原因造成的停工，工期相应顺延；如乙方拒不执行逾期竣工违约金处罚，甲方有权解</w:t>
      </w:r>
      <w:r>
        <w:rPr>
          <w:color w:val="auto"/>
          <w:spacing w:val="-4"/>
          <w:szCs w:val="21"/>
          <w:highlight w:val="none"/>
        </w:rPr>
        <w:t>除合同，并责令乙方限期撤场</w:t>
      </w:r>
      <w:r>
        <w:rPr>
          <w:rFonts w:hint="eastAsia"/>
          <w:color w:val="auto"/>
          <w:szCs w:val="21"/>
          <w:highlight w:val="none"/>
          <w:lang w:eastAsia="zh-CN"/>
        </w:rPr>
        <w:t>；</w:t>
      </w:r>
    </w:p>
    <w:p w14:paraId="188996E7">
      <w:pPr>
        <w:pStyle w:val="29"/>
        <w:keepNext w:val="0"/>
        <w:keepLines w:val="0"/>
        <w:pageBreakBefore w:val="0"/>
        <w:numPr>
          <w:ilvl w:val="2"/>
          <w:numId w:val="10"/>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甲方</w:t>
      </w:r>
      <w:r>
        <w:rPr>
          <w:rFonts w:hint="eastAsia"/>
          <w:color w:val="auto"/>
          <w:szCs w:val="21"/>
          <w:highlight w:val="none"/>
          <w:lang w:val="en-US" w:eastAsia="zh-CN"/>
        </w:rPr>
        <w:t>若未按时支付剩余工程款</w:t>
      </w:r>
      <w:r>
        <w:rPr>
          <w:color w:val="auto"/>
          <w:szCs w:val="21"/>
          <w:highlight w:val="none"/>
        </w:rPr>
        <w:t>，</w:t>
      </w:r>
      <w:r>
        <w:rPr>
          <w:rFonts w:hint="eastAsia"/>
          <w:color w:val="auto"/>
          <w:szCs w:val="21"/>
          <w:highlight w:val="none"/>
          <w:lang w:val="en-US" w:eastAsia="zh-CN"/>
        </w:rPr>
        <w:t>剩余工程款以每个季度按万分之一支付给乙方违约金</w:t>
      </w:r>
      <w:r>
        <w:rPr>
          <w:color w:val="auto"/>
          <w:szCs w:val="21"/>
          <w:highlight w:val="none"/>
        </w:rPr>
        <w:t>。</w:t>
      </w:r>
    </w:p>
    <w:p w14:paraId="1C0AB8A6">
      <w:pPr>
        <w:pStyle w:val="6"/>
        <w:keepNext w:val="0"/>
        <w:keepLines w:val="0"/>
        <w:pageBreakBefore w:val="0"/>
        <w:kinsoku/>
        <w:wordWrap/>
        <w:overflowPunct/>
        <w:topLinePunct w:val="0"/>
        <w:autoSpaceDE/>
        <w:autoSpaceDN/>
        <w:bidi w:val="0"/>
        <w:adjustRightInd/>
        <w:snapToGrid/>
        <w:spacing w:before="181" w:line="500" w:lineRule="exact"/>
        <w:ind w:left="0" w:leftChars="0" w:firstLine="422" w:firstLineChars="200"/>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三</w:t>
      </w:r>
      <w:r>
        <w:rPr>
          <w:color w:val="auto"/>
          <w:sz w:val="21"/>
          <w:szCs w:val="21"/>
          <w:highlight w:val="none"/>
        </w:rPr>
        <w:t>、争议解决</w:t>
      </w:r>
    </w:p>
    <w:p w14:paraId="25B9E6B6">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spacing w:val="-13"/>
          <w:sz w:val="21"/>
          <w:szCs w:val="21"/>
          <w:highlight w:val="none"/>
        </w:rPr>
        <w:t>因本合同引起的或与本合同有关的任何争议，合同双方友好协商，协商不成，可依法向项目所在地 彭</w:t>
      </w:r>
      <w:r>
        <w:rPr>
          <w:color w:val="auto"/>
          <w:spacing w:val="-5"/>
          <w:sz w:val="21"/>
          <w:szCs w:val="21"/>
          <w:highlight w:val="none"/>
        </w:rPr>
        <w:t>水县人民法院提起诉讼。</w:t>
      </w:r>
    </w:p>
    <w:p w14:paraId="56EEF40E">
      <w:pPr>
        <w:pStyle w:val="6"/>
        <w:keepNext w:val="0"/>
        <w:keepLines w:val="0"/>
        <w:pageBreakBefore w:val="0"/>
        <w:kinsoku/>
        <w:wordWrap/>
        <w:overflowPunct/>
        <w:topLinePunct w:val="0"/>
        <w:autoSpaceDE/>
        <w:autoSpaceDN/>
        <w:bidi w:val="0"/>
        <w:adjustRightInd/>
        <w:snapToGrid/>
        <w:spacing w:line="500" w:lineRule="exact"/>
        <w:ind w:left="48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四</w:t>
      </w:r>
      <w:r>
        <w:rPr>
          <w:color w:val="auto"/>
          <w:sz w:val="21"/>
          <w:szCs w:val="21"/>
          <w:highlight w:val="none"/>
        </w:rPr>
        <w:t>、合同生效及终止</w:t>
      </w:r>
    </w:p>
    <w:p w14:paraId="33D494F0">
      <w:pPr>
        <w:pStyle w:val="8"/>
        <w:keepNext w:val="0"/>
        <w:keepLines w:val="0"/>
        <w:pageBreakBefore w:val="0"/>
        <w:kinsoku/>
        <w:wordWrap/>
        <w:overflowPunct/>
        <w:topLinePunct w:val="0"/>
        <w:autoSpaceDE/>
        <w:autoSpaceDN/>
        <w:bidi w:val="0"/>
        <w:adjustRightInd/>
        <w:snapToGrid/>
        <w:spacing w:before="179" w:line="500" w:lineRule="exact"/>
        <w:ind w:left="132" w:right="426" w:firstLine="420"/>
        <w:rPr>
          <w:color w:val="auto"/>
          <w:sz w:val="21"/>
          <w:szCs w:val="21"/>
          <w:highlight w:val="none"/>
        </w:rPr>
      </w:pPr>
      <w:r>
        <w:rPr>
          <w:color w:val="auto"/>
          <w:sz w:val="21"/>
          <w:szCs w:val="21"/>
          <w:highlight w:val="none"/>
        </w:rPr>
        <w:t>本合同经甲、乙双方法定代表人或授权代理人签字并加盖合同章或公章后生效，缺陷责任期满经竣工验收合格并完善结算审计，由甲方支付完合同价款及质保金后本合同失效。</w:t>
      </w:r>
    </w:p>
    <w:p w14:paraId="57CF33A5">
      <w:pPr>
        <w:pStyle w:val="6"/>
        <w:keepNext w:val="0"/>
        <w:keepLines w:val="0"/>
        <w:pageBreakBefore w:val="0"/>
        <w:kinsoku/>
        <w:wordWrap/>
        <w:overflowPunct/>
        <w:topLinePunct w:val="0"/>
        <w:autoSpaceDE/>
        <w:autoSpaceDN/>
        <w:bidi w:val="0"/>
        <w:adjustRightInd/>
        <w:snapToGrid/>
        <w:spacing w:line="500" w:lineRule="exact"/>
        <w:ind w:left="60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、其他</w:t>
      </w:r>
    </w:p>
    <w:p w14:paraId="7650A504">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w w:val="95"/>
          <w:sz w:val="21"/>
          <w:szCs w:val="21"/>
          <w:highlight w:val="none"/>
        </w:rPr>
        <w:t>1</w:t>
      </w:r>
      <w:r>
        <w:rPr>
          <w:color w:val="auto"/>
          <w:spacing w:val="-9"/>
          <w:w w:val="95"/>
          <w:sz w:val="21"/>
          <w:szCs w:val="21"/>
          <w:highlight w:val="none"/>
        </w:rPr>
        <w:t>、</w:t>
      </w:r>
      <w:r>
        <w:rPr>
          <w:rFonts w:ascii="宋体" w:hAnsi="宋体" w:cs="宋体"/>
          <w:color w:val="auto"/>
          <w:spacing w:val="-2"/>
          <w:sz w:val="21"/>
          <w:szCs w:val="21"/>
          <w:highlight w:val="none"/>
          <w:lang w:val="zh-CN" w:bidi="zh-CN"/>
        </w:rPr>
        <w:t>乙方应根据施工需要，负责取得施工现场场内所需的批准手续和全部权利，以及取得施工场内因</w:t>
      </w:r>
      <w:r>
        <w:rPr>
          <w:color w:val="auto"/>
          <w:spacing w:val="-9"/>
          <w:sz w:val="21"/>
          <w:szCs w:val="21"/>
          <w:highlight w:val="none"/>
        </w:rPr>
        <w:t>施工所需修建道路以及其他基础设施的权利，并承担相关费用，甲方和监理人有权无偿使用乙方修建的临时道路和交通设施，不需要交纳任何费用。</w:t>
      </w:r>
    </w:p>
    <w:p w14:paraId="3D09AC8D">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2、本合同未约定事项参照《重庆市房屋建筑和市政基础设施工程施工标准招标文件》（2020版）示范文本第二章《通用合同条款》相应条款执行，由甲乙双方共同协商后另行签订补充协议，且同具法律效力。</w:t>
      </w:r>
    </w:p>
    <w:p w14:paraId="2979FE91">
      <w:pPr>
        <w:pStyle w:val="6"/>
        <w:keepNext w:val="0"/>
        <w:keepLines w:val="0"/>
        <w:pageBreakBefore w:val="0"/>
        <w:kinsoku/>
        <w:wordWrap/>
        <w:overflowPunct/>
        <w:topLinePunct w:val="0"/>
        <w:autoSpaceDE/>
        <w:autoSpaceDN/>
        <w:bidi w:val="0"/>
        <w:adjustRightInd/>
        <w:snapToGrid/>
        <w:spacing w:line="500" w:lineRule="exact"/>
        <w:ind w:left="53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六</w:t>
      </w:r>
      <w:r>
        <w:rPr>
          <w:color w:val="auto"/>
          <w:sz w:val="21"/>
          <w:szCs w:val="21"/>
          <w:highlight w:val="none"/>
        </w:rPr>
        <w:t>、合同份数</w:t>
      </w:r>
    </w:p>
    <w:p w14:paraId="7AEED931">
      <w:pPr>
        <w:pStyle w:val="8"/>
        <w:keepNext w:val="0"/>
        <w:keepLines w:val="0"/>
        <w:pageBreakBefore w:val="0"/>
        <w:kinsoku/>
        <w:wordWrap/>
        <w:overflowPunct/>
        <w:topLinePunct w:val="0"/>
        <w:autoSpaceDE/>
        <w:autoSpaceDN/>
        <w:bidi w:val="0"/>
        <w:adjustRightInd/>
        <w:snapToGrid/>
        <w:spacing w:before="178" w:line="500" w:lineRule="exact"/>
        <w:ind w:left="723"/>
        <w:rPr>
          <w:color w:val="auto"/>
          <w:sz w:val="21"/>
          <w:szCs w:val="21"/>
          <w:highlight w:val="none"/>
        </w:rPr>
      </w:pPr>
      <w:r>
        <w:rPr>
          <w:color w:val="auto"/>
          <w:sz w:val="21"/>
          <w:szCs w:val="21"/>
          <w:highlight w:val="none"/>
        </w:rPr>
        <w:t>本合同一式陆份，甲方执叁份，乙方执叁份。</w:t>
      </w:r>
    </w:p>
    <w:p w14:paraId="594CE148">
      <w:pPr>
        <w:pStyle w:val="8"/>
        <w:tabs>
          <w:tab w:val="left" w:pos="6394"/>
        </w:tabs>
        <w:spacing w:before="152"/>
        <w:rPr>
          <w:color w:val="auto"/>
          <w:sz w:val="21"/>
          <w:szCs w:val="21"/>
          <w:highlight w:val="none"/>
        </w:rPr>
      </w:pPr>
      <w:r>
        <w:rPr>
          <w:rFonts w:hint="eastAsia"/>
          <w:color w:val="auto"/>
          <w:sz w:val="21"/>
          <w:szCs w:val="21"/>
          <w:highlight w:val="none"/>
          <w:lang w:val="en-US" w:eastAsia="zh-CN"/>
        </w:rPr>
        <w:t>甲方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乙方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459D3111">
      <w:pPr>
        <w:pStyle w:val="8"/>
        <w:tabs>
          <w:tab w:val="left" w:pos="5880"/>
        </w:tabs>
        <w:rPr>
          <w:color w:val="auto"/>
          <w:sz w:val="21"/>
          <w:szCs w:val="21"/>
          <w:highlight w:val="none"/>
        </w:rPr>
      </w:pPr>
    </w:p>
    <w:p w14:paraId="69D0FED6">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352583E3">
      <w:pPr>
        <w:pStyle w:val="8"/>
        <w:spacing w:before="9"/>
        <w:rPr>
          <w:color w:val="auto"/>
          <w:sz w:val="21"/>
          <w:szCs w:val="21"/>
          <w:highlight w:val="none"/>
        </w:rPr>
      </w:pPr>
    </w:p>
    <w:p w14:paraId="7989C5DD">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30588C91">
      <w:pPr>
        <w:pStyle w:val="8"/>
        <w:spacing w:before="7"/>
        <w:rPr>
          <w:color w:val="auto"/>
          <w:sz w:val="21"/>
          <w:szCs w:val="21"/>
          <w:highlight w:val="none"/>
        </w:rPr>
      </w:pPr>
    </w:p>
    <w:p w14:paraId="3D16D289">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00F50A97">
      <w:pPr>
        <w:pStyle w:val="8"/>
        <w:spacing w:before="4"/>
        <w:rPr>
          <w:color w:val="auto"/>
          <w:sz w:val="21"/>
          <w:szCs w:val="21"/>
          <w:highlight w:val="none"/>
        </w:rPr>
      </w:pPr>
    </w:p>
    <w:p w14:paraId="500BBDCF">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42E0737B">
      <w:pPr>
        <w:spacing w:line="219" w:lineRule="exact"/>
        <w:ind w:firstLine="210" w:firstLineChars="100"/>
        <w:rPr>
          <w:rFonts w:hint="eastAsia"/>
          <w:color w:val="auto"/>
          <w:szCs w:val="21"/>
          <w:highlight w:val="none"/>
        </w:rPr>
      </w:pPr>
    </w:p>
    <w:p w14:paraId="289777B2">
      <w:pPr>
        <w:pStyle w:val="8"/>
        <w:rPr>
          <w:color w:val="auto"/>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0307389D">
      <w:pPr>
        <w:pStyle w:val="5"/>
        <w:spacing w:before="149"/>
        <w:ind w:right="30"/>
        <w:jc w:val="center"/>
        <w:rPr>
          <w:rFonts w:hint="eastAsia" w:ascii="宋体" w:hAnsi="宋体" w:eastAsia="宋体" w:cs="宋体"/>
          <w:color w:val="auto"/>
          <w:sz w:val="32"/>
          <w:szCs w:val="32"/>
          <w:highlight w:val="none"/>
        </w:rPr>
      </w:pPr>
    </w:p>
    <w:p w14:paraId="509179B8">
      <w:pPr>
        <w:rPr>
          <w:rFonts w:hint="eastAsia" w:ascii="宋体" w:hAnsi="宋体" w:eastAsia="宋体" w:cs="宋体"/>
          <w:color w:val="auto"/>
          <w:sz w:val="32"/>
          <w:szCs w:val="32"/>
          <w:highlight w:val="none"/>
        </w:rPr>
      </w:pPr>
    </w:p>
    <w:p w14:paraId="2BC14E4B">
      <w:pPr>
        <w:rPr>
          <w:rFonts w:hint="eastAsia" w:ascii="宋体" w:hAnsi="宋体" w:eastAsia="宋体" w:cs="宋体"/>
          <w:color w:val="auto"/>
          <w:sz w:val="32"/>
          <w:szCs w:val="32"/>
          <w:highlight w:val="none"/>
        </w:rPr>
      </w:pPr>
    </w:p>
    <w:p w14:paraId="5ECE34DB">
      <w:pPr>
        <w:rPr>
          <w:rFonts w:hint="eastAsia" w:ascii="宋体" w:hAnsi="宋体" w:eastAsia="宋体" w:cs="宋体"/>
          <w:color w:val="auto"/>
          <w:sz w:val="32"/>
          <w:szCs w:val="32"/>
          <w:highlight w:val="none"/>
        </w:rPr>
      </w:pPr>
    </w:p>
    <w:p w14:paraId="4640882C">
      <w:pPr>
        <w:rPr>
          <w:rFonts w:hint="eastAsia" w:ascii="宋体" w:hAnsi="宋体" w:eastAsia="宋体" w:cs="宋体"/>
          <w:color w:val="auto"/>
          <w:sz w:val="32"/>
          <w:szCs w:val="32"/>
          <w:highlight w:val="none"/>
        </w:rPr>
      </w:pPr>
    </w:p>
    <w:p w14:paraId="5BAB76E0">
      <w:pPr>
        <w:rPr>
          <w:rFonts w:hint="eastAsia" w:ascii="宋体" w:hAnsi="宋体" w:eastAsia="宋体" w:cs="宋体"/>
          <w:color w:val="auto"/>
          <w:sz w:val="32"/>
          <w:szCs w:val="32"/>
          <w:highlight w:val="none"/>
        </w:rPr>
      </w:pPr>
    </w:p>
    <w:p w14:paraId="38BC63AE">
      <w:pPr>
        <w:rPr>
          <w:rFonts w:hint="eastAsia" w:ascii="宋体" w:hAnsi="宋体" w:eastAsia="宋体" w:cs="宋体"/>
          <w:color w:val="auto"/>
          <w:sz w:val="32"/>
          <w:szCs w:val="32"/>
          <w:highlight w:val="none"/>
        </w:rPr>
      </w:pPr>
    </w:p>
    <w:p w14:paraId="51F19B1A">
      <w:pPr>
        <w:rPr>
          <w:rFonts w:hint="eastAsia" w:ascii="宋体" w:hAnsi="宋体" w:eastAsia="宋体" w:cs="宋体"/>
          <w:color w:val="auto"/>
          <w:sz w:val="32"/>
          <w:szCs w:val="32"/>
          <w:highlight w:val="none"/>
        </w:rPr>
      </w:pPr>
      <w:bookmarkStart w:id="70" w:name="_GoBack"/>
      <w:bookmarkEnd w:id="70"/>
    </w:p>
    <w:p w14:paraId="55628D0F">
      <w:pPr>
        <w:pStyle w:val="5"/>
        <w:spacing w:before="149"/>
        <w:ind w:right="30"/>
        <w:jc w:val="center"/>
        <w:rPr>
          <w:rFonts w:hint="eastAsia" w:ascii="宋体" w:hAnsi="宋体" w:eastAsia="宋体" w:cs="宋体"/>
          <w:color w:val="auto"/>
          <w:sz w:val="32"/>
          <w:szCs w:val="32"/>
          <w:highlight w:val="none"/>
        </w:rPr>
      </w:pPr>
    </w:p>
    <w:p w14:paraId="0FBBF5E9">
      <w:pPr>
        <w:pStyle w:val="5"/>
        <w:spacing w:before="149"/>
        <w:ind w:right="30"/>
        <w:jc w:val="center"/>
        <w:rPr>
          <w:color w:val="auto"/>
          <w:sz w:val="21"/>
          <w:szCs w:val="21"/>
          <w:highlight w:val="none"/>
        </w:rPr>
      </w:pPr>
      <w:r>
        <w:rPr>
          <w:rFonts w:hint="eastAsia" w:ascii="宋体" w:hAnsi="宋体" w:eastAsia="宋体" w:cs="宋体"/>
          <w:color w:val="auto"/>
          <w:sz w:val="32"/>
          <w:szCs w:val="32"/>
          <w:highlight w:val="none"/>
        </w:rPr>
        <w:t>安全管理协议</w:t>
      </w:r>
    </w:p>
    <w:p w14:paraId="13BBE4D6">
      <w:pPr>
        <w:pStyle w:val="7"/>
        <w:tabs>
          <w:tab w:val="left" w:pos="6244"/>
        </w:tabs>
        <w:spacing w:before="264" w:line="364" w:lineRule="auto"/>
        <w:ind w:left="0" w:right="3746"/>
        <w:rPr>
          <w:rFonts w:hint="default" w:eastAsia="宋体"/>
          <w:color w:val="auto"/>
          <w:highlight w:val="none"/>
          <w:lang w:val="en-US" w:eastAsia="zh-CN"/>
        </w:rPr>
      </w:pPr>
      <w:r>
        <w:rPr>
          <w:color w:val="auto"/>
          <w:highlight w:val="none"/>
        </w:rPr>
        <w:t>发包人（全称）：</w:t>
      </w:r>
      <w:r>
        <w:rPr>
          <w:rFonts w:hint="eastAsia"/>
          <w:color w:val="auto"/>
          <w:highlight w:val="none"/>
          <w:u w:val="single"/>
        </w:rPr>
        <w:t xml:space="preserve"> </w:t>
      </w:r>
      <w:r>
        <w:rPr>
          <w:rFonts w:hint="eastAsia"/>
          <w:color w:val="auto"/>
          <w:highlight w:val="none"/>
          <w:u w:val="single"/>
          <w:lang w:val="en-US" w:eastAsia="zh-CN"/>
        </w:rPr>
        <w:t xml:space="preserve">                                          </w:t>
      </w:r>
    </w:p>
    <w:p w14:paraId="7219BFE4">
      <w:pPr>
        <w:pStyle w:val="7"/>
        <w:tabs>
          <w:tab w:val="left" w:pos="6244"/>
        </w:tabs>
        <w:spacing w:before="264" w:line="364" w:lineRule="auto"/>
        <w:ind w:left="0" w:leftChars="0" w:right="3746" w:firstLine="0" w:firstLineChars="0"/>
        <w:rPr>
          <w:rFonts w:ascii="Times New Roman" w:eastAsia="Times New Roman"/>
          <w:color w:val="auto"/>
          <w:highlight w:val="none"/>
        </w:rPr>
      </w:pPr>
      <w:r>
        <w:rPr>
          <w:color w:val="auto"/>
          <w:highlight w:val="none"/>
        </w:rPr>
        <w:t>承包人（全称）：</w:t>
      </w:r>
      <w:r>
        <w:rPr>
          <w:rFonts w:ascii="Times New Roman" w:eastAsia="Times New Roman"/>
          <w:color w:val="auto"/>
          <w:w w:val="99"/>
          <w:highlight w:val="none"/>
          <w:u w:val="single"/>
        </w:rPr>
        <w:t xml:space="preserve">  </w:t>
      </w:r>
      <w:r>
        <w:rPr>
          <w:rFonts w:hint="eastAsia" w:ascii="Times New Roman"/>
          <w:color w:val="auto"/>
          <w:w w:val="99"/>
          <w:highlight w:val="none"/>
          <w:u w:val="single"/>
          <w:lang w:val="en-US"/>
        </w:rPr>
        <w:t xml:space="preserve">   </w:t>
      </w:r>
      <w:r>
        <w:rPr>
          <w:rFonts w:hint="eastAsia"/>
          <w:color w:val="auto"/>
          <w:highlight w:val="none"/>
          <w:u w:val="single"/>
          <w:lang w:val="en-US"/>
        </w:rPr>
        <w:t xml:space="preserve">                            </w:t>
      </w:r>
      <w:r>
        <w:rPr>
          <w:rFonts w:hint="eastAsia"/>
          <w:b w:val="0"/>
          <w:bCs w:val="0"/>
          <w:color w:val="auto"/>
          <w:highlight w:val="none"/>
          <w:u w:val="single"/>
          <w:lang w:val="en-US"/>
        </w:rPr>
        <w:t xml:space="preserve">            </w:t>
      </w:r>
      <w:r>
        <w:rPr>
          <w:rFonts w:ascii="Times New Roman" w:eastAsia="Times New Roman"/>
          <w:color w:val="auto"/>
          <w:w w:val="32"/>
          <w:highlight w:val="none"/>
          <w:u w:val="single"/>
        </w:rPr>
        <w:t xml:space="preserve"> </w:t>
      </w:r>
    </w:p>
    <w:p w14:paraId="0DB0202A">
      <w:pPr>
        <w:pStyle w:val="8"/>
        <w:tabs>
          <w:tab w:val="left" w:pos="2443"/>
        </w:tabs>
        <w:spacing w:before="97" w:line="417" w:lineRule="auto"/>
        <w:ind w:left="132" w:right="424" w:firstLine="420"/>
        <w:rPr>
          <w:color w:val="auto"/>
          <w:sz w:val="21"/>
          <w:szCs w:val="21"/>
          <w:highlight w:val="none"/>
        </w:rPr>
      </w:pPr>
      <w:r>
        <w:rPr>
          <w:color w:val="auto"/>
          <w:sz w:val="21"/>
          <w:szCs w:val="21"/>
          <w:highlight w:val="none"/>
        </w:rPr>
        <w:t>为了确保实现</w:t>
      </w:r>
      <w:r>
        <w:rPr>
          <w:rFonts w:hint="eastAsia"/>
          <w:color w:val="auto"/>
          <w:sz w:val="21"/>
          <w:szCs w:val="21"/>
          <w:highlight w:val="none"/>
          <w:u w:val="single"/>
        </w:rPr>
        <w:t xml:space="preserve"> </w:t>
      </w:r>
      <w:r>
        <w:rPr>
          <w:rFonts w:hint="eastAsia"/>
          <w:color w:val="auto"/>
          <w:sz w:val="21"/>
          <w:szCs w:val="21"/>
          <w:highlight w:val="none"/>
          <w:u w:val="single" w:color="000000"/>
          <w:lang w:val="en-US" w:eastAsia="zh-CN"/>
        </w:rPr>
        <w:t xml:space="preserve">              </w:t>
      </w:r>
      <w:r>
        <w:rPr>
          <w:color w:val="auto"/>
          <w:sz w:val="21"/>
          <w:szCs w:val="21"/>
          <w:highlight w:val="none"/>
        </w:rPr>
        <w:t>安全生产目标</w:t>
      </w:r>
      <w:r>
        <w:rPr>
          <w:color w:val="auto"/>
          <w:spacing w:val="-87"/>
          <w:sz w:val="21"/>
          <w:szCs w:val="21"/>
          <w:highlight w:val="none"/>
        </w:rPr>
        <w:t>，</w:t>
      </w:r>
      <w:r>
        <w:rPr>
          <w:color w:val="auto"/>
          <w:sz w:val="21"/>
          <w:szCs w:val="21"/>
          <w:highlight w:val="none"/>
        </w:rPr>
        <w:t>进一步明确双方的安全管理责任</w:t>
      </w:r>
      <w:r>
        <w:rPr>
          <w:color w:val="auto"/>
          <w:spacing w:val="-22"/>
          <w:sz w:val="21"/>
          <w:szCs w:val="21"/>
          <w:highlight w:val="none"/>
        </w:rPr>
        <w:t>，</w:t>
      </w:r>
      <w:r>
        <w:rPr>
          <w:color w:val="auto"/>
          <w:sz w:val="21"/>
          <w:szCs w:val="21"/>
          <w:highlight w:val="none"/>
        </w:rPr>
        <w:t>加强安全生产管理工作的协调</w:t>
      </w:r>
      <w:r>
        <w:rPr>
          <w:color w:val="auto"/>
          <w:spacing w:val="-22"/>
          <w:sz w:val="21"/>
          <w:szCs w:val="21"/>
          <w:highlight w:val="none"/>
        </w:rPr>
        <w:t>、</w:t>
      </w:r>
      <w:r>
        <w:rPr>
          <w:color w:val="auto"/>
          <w:sz w:val="21"/>
          <w:szCs w:val="21"/>
          <w:highlight w:val="none"/>
        </w:rPr>
        <w:t>管理力度</w:t>
      </w:r>
      <w:r>
        <w:rPr>
          <w:color w:val="auto"/>
          <w:spacing w:val="-23"/>
          <w:sz w:val="21"/>
          <w:szCs w:val="21"/>
          <w:highlight w:val="none"/>
        </w:rPr>
        <w:t>，</w:t>
      </w:r>
      <w:r>
        <w:rPr>
          <w:rFonts w:hint="eastAsia"/>
          <w:color w:val="auto"/>
          <w:spacing w:val="15"/>
          <w:sz w:val="21"/>
          <w:szCs w:val="21"/>
          <w:highlight w:val="none"/>
          <w:u w:val="single"/>
          <w:lang w:val="en-US" w:eastAsia="zh-CN"/>
        </w:rPr>
        <w:t xml:space="preserve">    </w:t>
      </w:r>
      <w:r>
        <w:rPr>
          <w:color w:val="auto"/>
          <w:sz w:val="21"/>
          <w:szCs w:val="21"/>
          <w:highlight w:val="none"/>
          <w:u w:val="single"/>
        </w:rPr>
        <w:t xml:space="preserve"> </w:t>
      </w:r>
      <w:r>
        <w:rPr>
          <w:color w:val="auto"/>
          <w:spacing w:val="72"/>
          <w:sz w:val="21"/>
          <w:szCs w:val="21"/>
          <w:highlight w:val="none"/>
          <w:u w:val="single"/>
        </w:rPr>
        <w:t xml:space="preserve"> </w:t>
      </w:r>
      <w:r>
        <w:rPr>
          <w:color w:val="auto"/>
          <w:sz w:val="21"/>
          <w:szCs w:val="21"/>
          <w:highlight w:val="none"/>
        </w:rPr>
        <w:t>（以下简称“发包人”）与</w:t>
      </w:r>
      <w:r>
        <w:rPr>
          <w:color w:val="auto"/>
          <w:sz w:val="21"/>
          <w:szCs w:val="21"/>
          <w:highlight w:val="none"/>
          <w:u w:val="single"/>
        </w:rPr>
        <w:t xml:space="preserve"> </w:t>
      </w:r>
      <w:r>
        <w:rPr>
          <w:rFonts w:hint="eastAsia"/>
          <w:color w:val="auto"/>
          <w:w w:val="99"/>
          <w:sz w:val="21"/>
          <w:szCs w:val="21"/>
          <w:highlight w:val="none"/>
          <w:u w:val="single"/>
        </w:rPr>
        <w:t xml:space="preserve">           </w:t>
      </w:r>
      <w:r>
        <w:rPr>
          <w:rFonts w:hint="eastAsia" w:ascii="宋体" w:hAnsi="宋体" w:cs="宋体"/>
          <w:color w:val="auto"/>
          <w:sz w:val="21"/>
          <w:szCs w:val="21"/>
          <w:highlight w:val="none"/>
          <w:u w:val="single"/>
          <w:lang w:bidi="zh-CN"/>
        </w:rPr>
        <w:t xml:space="preserve"> </w:t>
      </w:r>
      <w:r>
        <w:rPr>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19E8135">
      <w:pPr>
        <w:pStyle w:val="8"/>
        <w:spacing w:line="268" w:lineRule="exact"/>
        <w:ind w:left="552"/>
        <w:rPr>
          <w:color w:val="auto"/>
          <w:sz w:val="21"/>
          <w:szCs w:val="21"/>
          <w:highlight w:val="none"/>
        </w:rPr>
      </w:pPr>
      <w:r>
        <w:rPr>
          <w:color w:val="auto"/>
          <w:sz w:val="21"/>
          <w:szCs w:val="21"/>
          <w:highlight w:val="none"/>
        </w:rPr>
        <w:t>一、协议有效期限</w:t>
      </w:r>
    </w:p>
    <w:p w14:paraId="3CCBC4D5">
      <w:pPr>
        <w:pStyle w:val="8"/>
        <w:spacing w:before="1" w:line="417" w:lineRule="auto"/>
        <w:ind w:left="132" w:right="443" w:firstLine="420"/>
        <w:rPr>
          <w:color w:val="auto"/>
          <w:sz w:val="21"/>
          <w:szCs w:val="21"/>
          <w:highlight w:val="none"/>
        </w:rPr>
      </w:pPr>
      <w:r>
        <w:rPr>
          <w:color w:val="auto"/>
          <w:sz w:val="21"/>
          <w:szCs w:val="21"/>
          <w:highlight w:val="none"/>
        </w:rPr>
        <w:t>本协议中所涉及的安全管理责任自合同签订之日起开始生效，至合同工程全部完工验收且经发包人与承包人签订移交协议生效后之日终止。</w:t>
      </w:r>
    </w:p>
    <w:p w14:paraId="1E2C7048">
      <w:pPr>
        <w:pStyle w:val="8"/>
        <w:spacing w:line="269" w:lineRule="exact"/>
        <w:ind w:left="552"/>
        <w:rPr>
          <w:color w:val="auto"/>
          <w:sz w:val="21"/>
          <w:szCs w:val="21"/>
          <w:highlight w:val="none"/>
        </w:rPr>
      </w:pPr>
      <w:r>
        <w:rPr>
          <w:color w:val="auto"/>
          <w:sz w:val="21"/>
          <w:szCs w:val="21"/>
          <w:highlight w:val="none"/>
        </w:rPr>
        <w:t>二、责任目标</w:t>
      </w:r>
    </w:p>
    <w:p w14:paraId="0910BB17">
      <w:pPr>
        <w:pStyle w:val="8"/>
        <w:spacing w:line="360" w:lineRule="auto"/>
        <w:ind w:left="552"/>
        <w:rPr>
          <w:color w:val="auto"/>
          <w:sz w:val="21"/>
          <w:szCs w:val="21"/>
          <w:highlight w:val="none"/>
        </w:rPr>
      </w:pPr>
      <w:r>
        <w:rPr>
          <w:color w:val="auto"/>
          <w:sz w:val="21"/>
          <w:szCs w:val="21"/>
          <w:highlight w:val="none"/>
        </w:rPr>
        <w:t>（一）承包人承诺承担和履行合同和发包人所规定的安全责任，且满足要求。</w:t>
      </w:r>
    </w:p>
    <w:p w14:paraId="23004CBF">
      <w:pPr>
        <w:widowControl/>
        <w:spacing w:line="360" w:lineRule="auto"/>
        <w:ind w:firstLine="630" w:firstLineChars="3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（二）承包人的安全控制目标是确保本工程在实施过程中：</w:t>
      </w:r>
    </w:p>
    <w:p w14:paraId="027764E8">
      <w:pPr>
        <w:widowControl/>
        <w:spacing w:line="360" w:lineRule="auto"/>
        <w:ind w:firstLine="398" w:firstLineChars="200"/>
        <w:jc w:val="left"/>
        <w:rPr>
          <w:color w:val="auto"/>
          <w:szCs w:val="21"/>
          <w:highlight w:val="none"/>
        </w:rPr>
      </w:pPr>
      <w:r>
        <w:rPr>
          <w:color w:val="auto"/>
          <w:w w:val="95"/>
          <w:szCs w:val="21"/>
          <w:highlight w:val="none"/>
        </w:rPr>
        <w:t xml:space="preserve"> </w:t>
      </w:r>
      <w:r>
        <w:rPr>
          <w:color w:val="auto"/>
          <w:szCs w:val="21"/>
          <w:highlight w:val="none"/>
        </w:rPr>
        <w:t>1．不发生人</w:t>
      </w:r>
      <w:r>
        <w:rPr>
          <w:rFonts w:hint="eastAsia" w:ascii="宋体" w:hAnsi="宋体" w:cs="宋体"/>
          <w:color w:val="auto"/>
          <w:szCs w:val="21"/>
          <w:highlight w:val="none"/>
          <w:lang w:bidi="zh-CN"/>
        </w:rPr>
        <w:t>身重大伤亡事故</w:t>
      </w:r>
      <w:r>
        <w:rPr>
          <w:color w:val="auto"/>
          <w:szCs w:val="21"/>
          <w:highlight w:val="none"/>
        </w:rPr>
        <w:t>；</w:t>
      </w:r>
    </w:p>
    <w:p w14:paraId="574E30DA">
      <w:pPr>
        <w:pStyle w:val="29"/>
        <w:numPr>
          <w:ilvl w:val="0"/>
          <w:numId w:val="11"/>
        </w:numPr>
        <w:tabs>
          <w:tab w:val="left" w:pos="869"/>
        </w:tabs>
        <w:spacing w:line="269" w:lineRule="exact"/>
        <w:ind w:hanging="317"/>
        <w:jc w:val="left"/>
        <w:rPr>
          <w:color w:val="auto"/>
          <w:szCs w:val="21"/>
          <w:highlight w:val="none"/>
        </w:rPr>
      </w:pPr>
      <w:r>
        <w:rPr>
          <w:color w:val="auto"/>
          <w:szCs w:val="21"/>
          <w:highlight w:val="none"/>
        </w:rPr>
        <w:t>不发生火灾事故；</w:t>
      </w:r>
    </w:p>
    <w:p w14:paraId="7C804AA7">
      <w:pPr>
        <w:pStyle w:val="8"/>
        <w:spacing w:before="7"/>
        <w:rPr>
          <w:color w:val="auto"/>
          <w:sz w:val="21"/>
          <w:szCs w:val="21"/>
          <w:highlight w:val="none"/>
        </w:rPr>
      </w:pPr>
    </w:p>
    <w:p w14:paraId="00251132">
      <w:pPr>
        <w:pStyle w:val="29"/>
        <w:numPr>
          <w:ilvl w:val="0"/>
          <w:numId w:val="11"/>
        </w:numPr>
        <w:tabs>
          <w:tab w:val="left" w:pos="869"/>
        </w:tabs>
        <w:ind w:hanging="317"/>
        <w:jc w:val="left"/>
        <w:rPr>
          <w:color w:val="auto"/>
          <w:szCs w:val="21"/>
          <w:highlight w:val="none"/>
        </w:rPr>
      </w:pPr>
      <w:r>
        <w:rPr>
          <w:color w:val="auto"/>
          <w:szCs w:val="21"/>
          <w:highlight w:val="none"/>
        </w:rPr>
        <w:t>不发生负有同等及以上事故责任的造成人身重伤的一般交通事故；</w:t>
      </w:r>
    </w:p>
    <w:p w14:paraId="62310054">
      <w:pPr>
        <w:pStyle w:val="8"/>
        <w:spacing w:before="6"/>
        <w:rPr>
          <w:color w:val="auto"/>
          <w:sz w:val="21"/>
          <w:szCs w:val="21"/>
          <w:highlight w:val="none"/>
        </w:rPr>
      </w:pPr>
    </w:p>
    <w:p w14:paraId="1E21B818">
      <w:pPr>
        <w:pStyle w:val="29"/>
        <w:numPr>
          <w:ilvl w:val="0"/>
          <w:numId w:val="11"/>
        </w:numPr>
        <w:tabs>
          <w:tab w:val="left" w:pos="869"/>
        </w:tabs>
        <w:spacing w:before="1"/>
        <w:ind w:hanging="317"/>
        <w:jc w:val="left"/>
        <w:rPr>
          <w:color w:val="auto"/>
          <w:szCs w:val="21"/>
          <w:highlight w:val="none"/>
        </w:rPr>
      </w:pPr>
      <w:r>
        <w:rPr>
          <w:color w:val="auto"/>
          <w:szCs w:val="21"/>
          <w:highlight w:val="none"/>
        </w:rPr>
        <w:t>不发生集体食物中毒事件（</w:t>
      </w:r>
      <w:r>
        <w:rPr>
          <w:color w:val="auto"/>
          <w:spacing w:val="-18"/>
          <w:szCs w:val="21"/>
          <w:highlight w:val="none"/>
        </w:rPr>
        <w:t xml:space="preserve">同时 </w:t>
      </w:r>
      <w:r>
        <w:rPr>
          <w:color w:val="auto"/>
          <w:szCs w:val="21"/>
          <w:highlight w:val="none"/>
        </w:rPr>
        <w:t>5</w:t>
      </w:r>
      <w:r>
        <w:rPr>
          <w:color w:val="auto"/>
          <w:spacing w:val="-8"/>
          <w:szCs w:val="21"/>
          <w:highlight w:val="none"/>
        </w:rPr>
        <w:t xml:space="preserve"> 人及以上的食物中毒</w:t>
      </w:r>
      <w:r>
        <w:rPr>
          <w:color w:val="auto"/>
          <w:szCs w:val="21"/>
          <w:highlight w:val="none"/>
        </w:rPr>
        <w:t>）；</w:t>
      </w:r>
    </w:p>
    <w:p w14:paraId="2F941F4B">
      <w:pPr>
        <w:pStyle w:val="8"/>
        <w:spacing w:before="6"/>
        <w:rPr>
          <w:color w:val="auto"/>
          <w:sz w:val="21"/>
          <w:szCs w:val="21"/>
          <w:highlight w:val="none"/>
        </w:rPr>
      </w:pPr>
    </w:p>
    <w:p w14:paraId="6D083D08">
      <w:pPr>
        <w:pStyle w:val="29"/>
        <w:numPr>
          <w:ilvl w:val="0"/>
          <w:numId w:val="11"/>
        </w:numPr>
        <w:tabs>
          <w:tab w:val="left" w:pos="869"/>
        </w:tabs>
        <w:ind w:hanging="317"/>
        <w:jc w:val="left"/>
        <w:rPr>
          <w:color w:val="auto"/>
          <w:szCs w:val="21"/>
          <w:highlight w:val="none"/>
        </w:rPr>
      </w:pPr>
      <w:r>
        <w:rPr>
          <w:color w:val="auto"/>
          <w:szCs w:val="21"/>
          <w:highlight w:val="none"/>
        </w:rPr>
        <w:t>不发生流行性传染病 （无甲型传染病、其他常见传染病未形成多人同时患病）；</w:t>
      </w:r>
    </w:p>
    <w:p w14:paraId="54BDC6F0">
      <w:pPr>
        <w:pStyle w:val="8"/>
        <w:spacing w:before="7"/>
        <w:rPr>
          <w:color w:val="auto"/>
          <w:sz w:val="21"/>
          <w:szCs w:val="21"/>
          <w:highlight w:val="none"/>
        </w:rPr>
      </w:pPr>
    </w:p>
    <w:p w14:paraId="0124978A">
      <w:pPr>
        <w:pStyle w:val="29"/>
        <w:numPr>
          <w:ilvl w:val="0"/>
          <w:numId w:val="11"/>
        </w:numPr>
        <w:tabs>
          <w:tab w:val="left" w:pos="869"/>
        </w:tabs>
        <w:ind w:hanging="317"/>
        <w:jc w:val="left"/>
        <w:rPr>
          <w:color w:val="auto"/>
          <w:szCs w:val="21"/>
          <w:highlight w:val="none"/>
        </w:rPr>
      </w:pPr>
      <w:r>
        <w:rPr>
          <w:color w:val="auto"/>
          <w:szCs w:val="21"/>
          <w:highlight w:val="none"/>
        </w:rPr>
        <w:t>不发生重大环境污染事件（生活、工业垃圾及其他污染物造成环境污染和大面积水土流失）；</w:t>
      </w:r>
    </w:p>
    <w:p w14:paraId="4915893A">
      <w:pPr>
        <w:pStyle w:val="8"/>
        <w:spacing w:before="7"/>
        <w:rPr>
          <w:color w:val="auto"/>
          <w:sz w:val="21"/>
          <w:szCs w:val="21"/>
          <w:highlight w:val="none"/>
        </w:rPr>
      </w:pPr>
    </w:p>
    <w:p w14:paraId="6D68BA07">
      <w:pPr>
        <w:pStyle w:val="29"/>
        <w:numPr>
          <w:ilvl w:val="0"/>
          <w:numId w:val="11"/>
        </w:numPr>
        <w:tabs>
          <w:tab w:val="left" w:pos="869"/>
        </w:tabs>
        <w:spacing w:line="417" w:lineRule="auto"/>
        <w:ind w:left="132" w:right="425" w:firstLine="420"/>
        <w:jc w:val="left"/>
        <w:rPr>
          <w:color w:val="auto"/>
          <w:szCs w:val="21"/>
          <w:highlight w:val="none"/>
        </w:rPr>
      </w:pPr>
      <w:r>
        <w:rPr>
          <w:color w:val="auto"/>
          <w:szCs w:val="21"/>
          <w:highlight w:val="none"/>
        </w:rPr>
        <w:t>不发生对施工区附近生产、生活造成重大影响的事件（如造成重大设备损坏、重大财产损失、人</w:t>
      </w:r>
      <w:r>
        <w:rPr>
          <w:color w:val="auto"/>
          <w:spacing w:val="-3"/>
          <w:szCs w:val="21"/>
          <w:highlight w:val="none"/>
        </w:rPr>
        <w:t>员伤害等）；</w:t>
      </w:r>
    </w:p>
    <w:p w14:paraId="7A1A34B7">
      <w:pPr>
        <w:pStyle w:val="29"/>
        <w:numPr>
          <w:ilvl w:val="0"/>
          <w:numId w:val="11"/>
        </w:numPr>
        <w:tabs>
          <w:tab w:val="left" w:pos="869"/>
        </w:tabs>
        <w:spacing w:line="269" w:lineRule="exact"/>
        <w:ind w:hanging="317"/>
        <w:jc w:val="left"/>
        <w:rPr>
          <w:color w:val="auto"/>
          <w:szCs w:val="21"/>
          <w:highlight w:val="none"/>
        </w:rPr>
      </w:pPr>
      <w:r>
        <w:rPr>
          <w:color w:val="auto"/>
          <w:szCs w:val="21"/>
          <w:highlight w:val="none"/>
        </w:rPr>
        <w:t>不发生治安保卫事件（</w:t>
      </w:r>
      <w:r>
        <w:rPr>
          <w:color w:val="auto"/>
          <w:spacing w:val="-3"/>
          <w:szCs w:val="21"/>
          <w:highlight w:val="none"/>
        </w:rPr>
        <w:t xml:space="preserve">构成刑事拘留及以上的事件、盗窃直接损失超过 </w:t>
      </w:r>
      <w:r>
        <w:rPr>
          <w:color w:val="auto"/>
          <w:szCs w:val="21"/>
          <w:highlight w:val="none"/>
        </w:rPr>
        <w:t>1</w:t>
      </w:r>
      <w:r>
        <w:rPr>
          <w:color w:val="auto"/>
          <w:spacing w:val="-8"/>
          <w:szCs w:val="21"/>
          <w:highlight w:val="none"/>
        </w:rPr>
        <w:t xml:space="preserve"> 万元人民币的事件</w:t>
      </w:r>
      <w:r>
        <w:rPr>
          <w:color w:val="auto"/>
          <w:szCs w:val="21"/>
          <w:highlight w:val="none"/>
        </w:rPr>
        <w:t>）。</w:t>
      </w:r>
    </w:p>
    <w:p w14:paraId="39EEF2A8">
      <w:pPr>
        <w:pStyle w:val="8"/>
        <w:spacing w:before="6"/>
        <w:rPr>
          <w:color w:val="auto"/>
          <w:sz w:val="21"/>
          <w:szCs w:val="21"/>
          <w:highlight w:val="none"/>
        </w:rPr>
      </w:pPr>
    </w:p>
    <w:p w14:paraId="4FE95B49">
      <w:pPr>
        <w:pStyle w:val="8"/>
        <w:spacing w:before="1" w:line="417" w:lineRule="auto"/>
        <w:ind w:left="552" w:right="4434"/>
        <w:rPr>
          <w:color w:val="auto"/>
          <w:sz w:val="21"/>
          <w:szCs w:val="21"/>
          <w:highlight w:val="none"/>
        </w:rPr>
      </w:pPr>
      <w:r>
        <w:rPr>
          <w:color w:val="auto"/>
          <w:w w:val="95"/>
          <w:sz w:val="21"/>
          <w:szCs w:val="21"/>
          <w:highlight w:val="none"/>
        </w:rPr>
        <w:t>（三）</w:t>
      </w:r>
      <w:r>
        <w:rPr>
          <w:rFonts w:ascii="宋体" w:hAnsi="宋体" w:cs="宋体"/>
          <w:color w:val="auto"/>
          <w:sz w:val="21"/>
          <w:szCs w:val="21"/>
          <w:highlight w:val="none"/>
          <w:lang w:val="zh-CN" w:bidi="zh-CN"/>
        </w:rPr>
        <w:t xml:space="preserve">承包人承诺在施工中控制以下安全事故的发生： </w:t>
      </w:r>
      <w:r>
        <w:rPr>
          <w:color w:val="auto"/>
          <w:sz w:val="21"/>
          <w:szCs w:val="21"/>
          <w:highlight w:val="none"/>
        </w:rPr>
        <w:t>1．人员轻伤事故。</w:t>
      </w:r>
    </w:p>
    <w:p w14:paraId="45C36749">
      <w:pPr>
        <w:pStyle w:val="29"/>
        <w:numPr>
          <w:ilvl w:val="0"/>
          <w:numId w:val="12"/>
        </w:numPr>
        <w:tabs>
          <w:tab w:val="left" w:pos="869"/>
        </w:tabs>
        <w:spacing w:line="269" w:lineRule="exact"/>
        <w:ind w:hanging="317"/>
        <w:jc w:val="left"/>
        <w:rPr>
          <w:color w:val="auto"/>
          <w:szCs w:val="21"/>
          <w:highlight w:val="none"/>
        </w:rPr>
      </w:pPr>
      <w:r>
        <w:rPr>
          <w:color w:val="auto"/>
          <w:szCs w:val="21"/>
          <w:highlight w:val="none"/>
        </w:rPr>
        <w:t>负有同等及以上事故责任的人身轻伤交通事故。</w:t>
      </w:r>
    </w:p>
    <w:p w14:paraId="39FE1AD3">
      <w:pPr>
        <w:pStyle w:val="8"/>
        <w:spacing w:before="6"/>
        <w:rPr>
          <w:color w:val="auto"/>
          <w:sz w:val="21"/>
          <w:szCs w:val="21"/>
          <w:highlight w:val="none"/>
        </w:rPr>
      </w:pPr>
    </w:p>
    <w:p w14:paraId="1BEEC8A3">
      <w:pPr>
        <w:pStyle w:val="29"/>
        <w:numPr>
          <w:ilvl w:val="0"/>
          <w:numId w:val="12"/>
        </w:numPr>
        <w:tabs>
          <w:tab w:val="left" w:pos="869"/>
        </w:tabs>
        <w:spacing w:line="417" w:lineRule="auto"/>
        <w:ind w:left="552" w:right="6217" w:firstLine="0"/>
        <w:jc w:val="left"/>
        <w:rPr>
          <w:color w:val="auto"/>
          <w:szCs w:val="21"/>
          <w:highlight w:val="none"/>
        </w:rPr>
      </w:pPr>
      <w:r>
        <w:rPr>
          <w:color w:val="auto"/>
          <w:szCs w:val="21"/>
          <w:highlight w:val="none"/>
        </w:rPr>
        <w:t>其他安全未遂事故和异常事件。三、安全责任</w:t>
      </w:r>
    </w:p>
    <w:p w14:paraId="22A0CB7D">
      <w:pPr>
        <w:pStyle w:val="29"/>
        <w:numPr>
          <w:ilvl w:val="0"/>
          <w:numId w:val="13"/>
        </w:numPr>
        <w:tabs>
          <w:tab w:val="left" w:pos="869"/>
        </w:tabs>
        <w:spacing w:line="269" w:lineRule="exact"/>
        <w:ind w:hanging="317"/>
        <w:jc w:val="left"/>
        <w:rPr>
          <w:color w:val="auto"/>
          <w:szCs w:val="21"/>
          <w:highlight w:val="none"/>
        </w:rPr>
      </w:pPr>
      <w:r>
        <w:rPr>
          <w:color w:val="auto"/>
          <w:szCs w:val="21"/>
          <w:highlight w:val="none"/>
        </w:rPr>
        <w:t>承包人负有安全生产的管理责任和直接责任。</w:t>
      </w:r>
    </w:p>
    <w:p w14:paraId="63A19EB0">
      <w:pPr>
        <w:pStyle w:val="29"/>
        <w:numPr>
          <w:ilvl w:val="0"/>
          <w:numId w:val="13"/>
        </w:numPr>
        <w:tabs>
          <w:tab w:val="left" w:pos="869"/>
        </w:tabs>
        <w:ind w:hanging="317"/>
        <w:jc w:val="left"/>
        <w:rPr>
          <w:color w:val="auto"/>
          <w:szCs w:val="21"/>
          <w:highlight w:val="none"/>
        </w:rPr>
      </w:pPr>
      <w:r>
        <w:rPr>
          <w:color w:val="auto"/>
          <w:szCs w:val="21"/>
          <w:highlight w:val="none"/>
        </w:rPr>
        <w:t>承包人的法人或签署合同的公司总经理或受委托的代理人对合同安全负有全面的领导责任。</w:t>
      </w:r>
    </w:p>
    <w:p w14:paraId="06E1B609">
      <w:pPr>
        <w:pStyle w:val="29"/>
        <w:numPr>
          <w:ilvl w:val="0"/>
          <w:numId w:val="13"/>
        </w:numPr>
        <w:tabs>
          <w:tab w:val="left" w:pos="1039"/>
        </w:tabs>
        <w:spacing w:before="142"/>
        <w:ind w:left="1038"/>
        <w:jc w:val="left"/>
        <w:rPr>
          <w:color w:val="auto"/>
          <w:szCs w:val="21"/>
          <w:highlight w:val="none"/>
        </w:rPr>
      </w:pPr>
      <w:r>
        <w:rPr>
          <w:color w:val="auto"/>
          <w:szCs w:val="21"/>
          <w:highlight w:val="none"/>
        </w:rPr>
        <w:t>承包人项目经理对施工现场的安全工作负有全面的直接领导责任。</w:t>
      </w:r>
    </w:p>
    <w:p w14:paraId="5A87A59D">
      <w:pPr>
        <w:pStyle w:val="8"/>
        <w:spacing w:before="6"/>
        <w:rPr>
          <w:color w:val="auto"/>
          <w:sz w:val="21"/>
          <w:szCs w:val="21"/>
          <w:highlight w:val="none"/>
        </w:rPr>
      </w:pPr>
    </w:p>
    <w:p w14:paraId="7F6B015F">
      <w:pPr>
        <w:pStyle w:val="29"/>
        <w:numPr>
          <w:ilvl w:val="0"/>
          <w:numId w:val="13"/>
        </w:numPr>
        <w:tabs>
          <w:tab w:val="left" w:pos="869"/>
        </w:tabs>
        <w:ind w:hanging="317"/>
        <w:jc w:val="left"/>
        <w:rPr>
          <w:color w:val="auto"/>
          <w:szCs w:val="21"/>
          <w:highlight w:val="none"/>
        </w:rPr>
      </w:pPr>
      <w:r>
        <w:rPr>
          <w:color w:val="auto"/>
          <w:szCs w:val="21"/>
          <w:highlight w:val="none"/>
        </w:rPr>
        <w:t>承包人保证执行“谁施工、谁负责”的施工安全原则。</w:t>
      </w:r>
    </w:p>
    <w:p w14:paraId="578291F8">
      <w:pPr>
        <w:pStyle w:val="8"/>
        <w:spacing w:before="6"/>
        <w:rPr>
          <w:color w:val="auto"/>
          <w:sz w:val="21"/>
          <w:szCs w:val="21"/>
          <w:highlight w:val="none"/>
        </w:rPr>
      </w:pPr>
    </w:p>
    <w:p w14:paraId="3F29CA83">
      <w:pPr>
        <w:pStyle w:val="29"/>
        <w:numPr>
          <w:ilvl w:val="0"/>
          <w:numId w:val="13"/>
        </w:numPr>
        <w:tabs>
          <w:tab w:val="left" w:pos="869"/>
        </w:tabs>
        <w:ind w:hanging="317"/>
        <w:jc w:val="left"/>
        <w:rPr>
          <w:color w:val="auto"/>
          <w:szCs w:val="21"/>
          <w:highlight w:val="none"/>
        </w:rPr>
      </w:pPr>
      <w:r>
        <w:rPr>
          <w:color w:val="auto"/>
          <w:szCs w:val="21"/>
          <w:highlight w:val="none"/>
        </w:rPr>
        <w:t>承包人保证服从发包人对安全工作的统一协调和管理。</w:t>
      </w:r>
    </w:p>
    <w:p w14:paraId="59844DD4">
      <w:pPr>
        <w:pStyle w:val="8"/>
        <w:spacing w:before="7"/>
        <w:rPr>
          <w:color w:val="auto"/>
          <w:sz w:val="21"/>
          <w:szCs w:val="21"/>
          <w:highlight w:val="none"/>
        </w:rPr>
      </w:pPr>
    </w:p>
    <w:p w14:paraId="3B0A0EE1">
      <w:pPr>
        <w:pStyle w:val="29"/>
        <w:numPr>
          <w:ilvl w:val="0"/>
          <w:numId w:val="13"/>
        </w:numPr>
        <w:tabs>
          <w:tab w:val="left" w:pos="1039"/>
        </w:tabs>
        <w:ind w:left="1038"/>
        <w:jc w:val="left"/>
        <w:rPr>
          <w:color w:val="auto"/>
          <w:szCs w:val="21"/>
          <w:highlight w:val="none"/>
        </w:rPr>
      </w:pPr>
      <w:r>
        <w:rPr>
          <w:color w:val="auto"/>
          <w:szCs w:val="21"/>
          <w:highlight w:val="none"/>
        </w:rPr>
        <w:t>承包人保证对本工程项目安全生产条件及其管理资源自行投入，保证安全资金的专款专用。</w:t>
      </w:r>
    </w:p>
    <w:p w14:paraId="4DA51111">
      <w:pPr>
        <w:pStyle w:val="8"/>
        <w:spacing w:before="7"/>
        <w:rPr>
          <w:color w:val="auto"/>
          <w:sz w:val="21"/>
          <w:szCs w:val="21"/>
          <w:highlight w:val="none"/>
        </w:rPr>
      </w:pPr>
    </w:p>
    <w:p w14:paraId="33E033A3">
      <w:pPr>
        <w:pStyle w:val="29"/>
        <w:numPr>
          <w:ilvl w:val="0"/>
          <w:numId w:val="13"/>
        </w:numPr>
        <w:tabs>
          <w:tab w:val="left" w:pos="1039"/>
        </w:tabs>
        <w:spacing w:line="417" w:lineRule="auto"/>
        <w:ind w:left="303" w:right="272" w:firstLine="420"/>
        <w:jc w:val="left"/>
        <w:rPr>
          <w:color w:val="auto"/>
          <w:szCs w:val="21"/>
          <w:highlight w:val="none"/>
        </w:rPr>
      </w:pPr>
      <w:r>
        <w:rPr>
          <w:color w:val="auto"/>
          <w:szCs w:val="21"/>
          <w:highlight w:val="none"/>
        </w:rPr>
        <w:t>承包人保证建立本工程项目的安全管理体系及安全保证体系（注：项目安全管理大纲/手册、管理性的程序文件等）。</w:t>
      </w:r>
    </w:p>
    <w:p w14:paraId="4029C02D">
      <w:pPr>
        <w:pStyle w:val="29"/>
        <w:numPr>
          <w:ilvl w:val="0"/>
          <w:numId w:val="13"/>
        </w:numPr>
        <w:tabs>
          <w:tab w:val="left" w:pos="1039"/>
        </w:tabs>
        <w:spacing w:line="269" w:lineRule="exact"/>
        <w:ind w:left="1038"/>
        <w:jc w:val="left"/>
        <w:rPr>
          <w:color w:val="auto"/>
          <w:szCs w:val="21"/>
          <w:highlight w:val="none"/>
        </w:rPr>
      </w:pPr>
      <w:r>
        <w:rPr>
          <w:color w:val="auto"/>
          <w:szCs w:val="21"/>
          <w:highlight w:val="none"/>
        </w:rPr>
        <w:t>承包人保证现场的安全管理专职人员必须持有建设主管部门安全生产培训考核合格证书。</w:t>
      </w:r>
    </w:p>
    <w:p w14:paraId="18448C42">
      <w:pPr>
        <w:pStyle w:val="8"/>
        <w:spacing w:before="6"/>
        <w:rPr>
          <w:color w:val="auto"/>
          <w:sz w:val="21"/>
          <w:szCs w:val="21"/>
          <w:highlight w:val="none"/>
        </w:rPr>
      </w:pPr>
    </w:p>
    <w:p w14:paraId="090979CD">
      <w:pPr>
        <w:pStyle w:val="29"/>
        <w:numPr>
          <w:ilvl w:val="0"/>
          <w:numId w:val="13"/>
        </w:numPr>
        <w:tabs>
          <w:tab w:val="left" w:pos="1039"/>
        </w:tabs>
        <w:spacing w:before="1" w:line="417" w:lineRule="auto"/>
        <w:ind w:left="303" w:right="271" w:firstLine="420"/>
        <w:jc w:val="left"/>
        <w:rPr>
          <w:color w:val="auto"/>
          <w:szCs w:val="21"/>
          <w:highlight w:val="none"/>
        </w:rPr>
      </w:pPr>
      <w:r>
        <w:rPr>
          <w:color w:val="auto"/>
          <w:szCs w:val="21"/>
          <w:highlight w:val="none"/>
        </w:rPr>
        <w:t>承包人保证为现场所有工作人员（含分包商员工及劳务人员）配备符合国家标准的有承包人和/或其下属分包商标志的个人基本劳动保护用品。</w:t>
      </w:r>
    </w:p>
    <w:p w14:paraId="2587DE32">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承包人保证按照国家法律规定为现场所有工作人员（含分包商员工及劳务人员）购买意外伤害保险。</w:t>
      </w:r>
    </w:p>
    <w:p w14:paraId="399B321D">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承包人保证施工生活营地（包括自建的和租用的营地）满足消防、安全用电、卫生防疫、防暴雨、防雷击等方面的安全要求。</w:t>
      </w:r>
    </w:p>
    <w:p w14:paraId="4E59E727">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承包人保证对带入现场的设备、工具、材料按照国家法规和标准进行检测、试验，并持有法定部门出具的检验证书。</w:t>
      </w:r>
    </w:p>
    <w:p w14:paraId="6F9E0596">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承包人保证制订施工现场的文明施工措施，保护环境、树木和植被，保持施工现场的良好秩序和整洁的作业环境。</w:t>
      </w:r>
    </w:p>
    <w:p w14:paraId="6871F8E6">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承包人负责在施工过程中与当地政府、周边群众及其他承包商保持良好的沟通和交流。承包人遇到与周边群众发生纠纷时，应负责协调工作，确保工程能够顺利进行。</w:t>
      </w:r>
    </w:p>
    <w:p w14:paraId="35961FB8">
      <w:pPr>
        <w:pStyle w:val="8"/>
        <w:spacing w:line="269" w:lineRule="exact"/>
        <w:ind w:left="723"/>
        <w:rPr>
          <w:color w:val="auto"/>
          <w:sz w:val="21"/>
          <w:szCs w:val="21"/>
          <w:highlight w:val="none"/>
        </w:rPr>
      </w:pPr>
      <w:r>
        <w:rPr>
          <w:color w:val="auto"/>
          <w:sz w:val="21"/>
          <w:szCs w:val="21"/>
          <w:highlight w:val="none"/>
        </w:rPr>
        <w:t>四、接口及协调</w:t>
      </w:r>
    </w:p>
    <w:p w14:paraId="357F7D79">
      <w:pPr>
        <w:pStyle w:val="8"/>
        <w:spacing w:before="4"/>
        <w:rPr>
          <w:color w:val="auto"/>
          <w:sz w:val="21"/>
          <w:szCs w:val="21"/>
          <w:highlight w:val="none"/>
        </w:rPr>
      </w:pPr>
    </w:p>
    <w:p w14:paraId="2BB1F361">
      <w:pPr>
        <w:pStyle w:val="29"/>
        <w:numPr>
          <w:ilvl w:val="0"/>
          <w:numId w:val="14"/>
        </w:numPr>
        <w:tabs>
          <w:tab w:val="left" w:pos="1039"/>
        </w:tabs>
        <w:spacing w:before="1" w:line="417" w:lineRule="auto"/>
        <w:ind w:right="149" w:firstLine="420"/>
        <w:jc w:val="left"/>
        <w:rPr>
          <w:color w:val="auto"/>
          <w:szCs w:val="21"/>
          <w:highlight w:val="none"/>
        </w:rPr>
      </w:pPr>
      <w:r>
        <w:rPr>
          <w:color w:val="auto"/>
          <w:spacing w:val="-6"/>
          <w:szCs w:val="21"/>
          <w:highlight w:val="none"/>
        </w:rPr>
        <w:t>发包人委托监理公司对该工程实施监理，监理公司在安全管理方面代表发包人行使监督检查职能，承包人必须给予配合和支持。</w:t>
      </w:r>
    </w:p>
    <w:p w14:paraId="29B98266">
      <w:pPr>
        <w:pStyle w:val="29"/>
        <w:numPr>
          <w:ilvl w:val="0"/>
          <w:numId w:val="14"/>
        </w:numPr>
        <w:tabs>
          <w:tab w:val="left" w:pos="1039"/>
        </w:tabs>
        <w:spacing w:line="417" w:lineRule="auto"/>
        <w:ind w:right="257" w:firstLine="420"/>
        <w:jc w:val="left"/>
        <w:rPr>
          <w:color w:val="auto"/>
          <w:szCs w:val="21"/>
          <w:highlight w:val="none"/>
        </w:rPr>
      </w:pPr>
      <w:r>
        <w:rPr>
          <w:color w:val="auto"/>
          <w:spacing w:val="-6"/>
          <w:szCs w:val="21"/>
          <w:highlight w:val="none"/>
        </w:rPr>
        <w:t>承包人人员、车辆的出入，带入现场的设备、机具、材料，在现场使用的或直接管理的办公、生</w:t>
      </w:r>
      <w:r>
        <w:rPr>
          <w:color w:val="auto"/>
          <w:spacing w:val="-8"/>
          <w:szCs w:val="21"/>
          <w:highlight w:val="none"/>
        </w:rPr>
        <w:t>活、生产性设施的安全管理须满足发包人现场管理的基本要求。</w:t>
      </w:r>
    </w:p>
    <w:p w14:paraId="440257EB">
      <w:pPr>
        <w:pStyle w:val="29"/>
        <w:numPr>
          <w:ilvl w:val="0"/>
          <w:numId w:val="14"/>
        </w:numPr>
        <w:tabs>
          <w:tab w:val="left" w:pos="1039"/>
        </w:tabs>
        <w:spacing w:line="417" w:lineRule="auto"/>
        <w:ind w:right="256" w:firstLine="420"/>
        <w:rPr>
          <w:color w:val="auto"/>
          <w:szCs w:val="21"/>
          <w:highlight w:val="none"/>
        </w:rPr>
      </w:pPr>
      <w:r>
        <w:rPr>
          <w:color w:val="auto"/>
          <w:spacing w:val="-3"/>
          <w:szCs w:val="21"/>
          <w:highlight w:val="none"/>
        </w:rPr>
        <w:t>承包人应指定专职安全管理人员与发包人委托的监理公司接口，参与安全协调和管理。安全协调和管理的内容包括职业健康、工业安全、消防安全、卫生防疫、交通安全、环境保护、治安保卫等各方面。</w:t>
      </w:r>
    </w:p>
    <w:p w14:paraId="7B89DFF7">
      <w:pPr>
        <w:pStyle w:val="29"/>
        <w:numPr>
          <w:ilvl w:val="0"/>
          <w:numId w:val="14"/>
        </w:numPr>
        <w:tabs>
          <w:tab w:val="left" w:pos="1039"/>
        </w:tabs>
        <w:spacing w:line="417" w:lineRule="auto"/>
        <w:ind w:right="256" w:firstLine="420"/>
        <w:rPr>
          <w:color w:val="auto"/>
          <w:szCs w:val="21"/>
          <w:highlight w:val="none"/>
        </w:rPr>
      </w:pPr>
      <w:r>
        <w:rPr>
          <w:color w:val="auto"/>
          <w:spacing w:val="-2"/>
          <w:szCs w:val="21"/>
          <w:highlight w:val="none"/>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DEF05B9">
      <w:pPr>
        <w:pStyle w:val="29"/>
        <w:numPr>
          <w:ilvl w:val="0"/>
          <w:numId w:val="14"/>
        </w:numPr>
        <w:tabs>
          <w:tab w:val="left" w:pos="869"/>
        </w:tabs>
        <w:spacing w:before="142" w:line="417" w:lineRule="auto"/>
        <w:ind w:left="132" w:right="424" w:firstLine="420"/>
        <w:jc w:val="left"/>
        <w:rPr>
          <w:color w:val="auto"/>
          <w:szCs w:val="21"/>
          <w:highlight w:val="none"/>
        </w:rPr>
      </w:pPr>
      <w:r>
        <w:rPr>
          <w:color w:val="auto"/>
          <w:spacing w:val="-2"/>
          <w:szCs w:val="21"/>
          <w:highlight w:val="none"/>
        </w:rPr>
        <w:t>承包人指定的专职安全管理人员应与发包人委托的监理公司建立联系，在业务上接受发包人委托的监理公司的协调和指导。</w:t>
      </w:r>
    </w:p>
    <w:p w14:paraId="6B39E5F3">
      <w:pPr>
        <w:pStyle w:val="29"/>
        <w:numPr>
          <w:ilvl w:val="0"/>
          <w:numId w:val="14"/>
        </w:numPr>
        <w:tabs>
          <w:tab w:val="left" w:pos="869"/>
        </w:tabs>
        <w:spacing w:line="417" w:lineRule="auto"/>
        <w:ind w:left="132" w:right="318" w:firstLine="420"/>
        <w:jc w:val="left"/>
        <w:rPr>
          <w:color w:val="auto"/>
          <w:szCs w:val="21"/>
          <w:highlight w:val="none"/>
        </w:rPr>
      </w:pPr>
      <w:r>
        <w:rPr>
          <w:color w:val="auto"/>
          <w:spacing w:val="-3"/>
          <w:szCs w:val="21"/>
          <w:highlight w:val="none"/>
        </w:rPr>
        <w:t>开工后承包人的专职安全管理人员应按照发包人委托的监理公司的规定，定期报送安全月度快报、季报、年报和各种专项事故报告等。</w:t>
      </w:r>
    </w:p>
    <w:p w14:paraId="65DEB9AD">
      <w:pPr>
        <w:pStyle w:val="29"/>
        <w:numPr>
          <w:ilvl w:val="0"/>
          <w:numId w:val="14"/>
        </w:numPr>
        <w:tabs>
          <w:tab w:val="left" w:pos="869"/>
        </w:tabs>
        <w:spacing w:line="417" w:lineRule="auto"/>
        <w:ind w:left="552" w:right="318" w:firstLine="0"/>
        <w:jc w:val="left"/>
        <w:rPr>
          <w:color w:val="auto"/>
          <w:szCs w:val="21"/>
          <w:highlight w:val="none"/>
        </w:rPr>
      </w:pPr>
      <w:r>
        <w:rPr>
          <w:color w:val="auto"/>
          <w:spacing w:val="-4"/>
          <w:szCs w:val="21"/>
          <w:highlight w:val="none"/>
        </w:rPr>
        <w:t>在工程实体未全部正式移交发包人施工管理部门之前，承包人依旧对施工范围内的安全管理负责。五、安全资质审查</w:t>
      </w:r>
    </w:p>
    <w:p w14:paraId="4196E4F6">
      <w:pPr>
        <w:pStyle w:val="8"/>
        <w:spacing w:line="417" w:lineRule="auto"/>
        <w:ind w:left="552" w:right="863"/>
        <w:rPr>
          <w:color w:val="auto"/>
          <w:sz w:val="21"/>
          <w:szCs w:val="21"/>
          <w:highlight w:val="none"/>
        </w:rPr>
      </w:pPr>
      <w:r>
        <w:rPr>
          <w:color w:val="auto"/>
          <w:spacing w:val="-6"/>
          <w:sz w:val="21"/>
          <w:szCs w:val="21"/>
          <w:highlight w:val="none"/>
        </w:rPr>
        <w:t xml:space="preserve">承包人在项目开工前 </w:t>
      </w:r>
      <w:r>
        <w:rPr>
          <w:color w:val="auto"/>
          <w:sz w:val="21"/>
          <w:szCs w:val="21"/>
          <w:highlight w:val="none"/>
        </w:rPr>
        <w:t>5</w:t>
      </w:r>
      <w:r>
        <w:rPr>
          <w:color w:val="auto"/>
          <w:spacing w:val="-9"/>
          <w:sz w:val="21"/>
          <w:szCs w:val="21"/>
          <w:highlight w:val="none"/>
        </w:rPr>
        <w:t xml:space="preserve"> 个工作天内向发包人委托的监理公司提供以下安全资质供审查和存档： 1．企业安全生产许可证书复印件。</w:t>
      </w:r>
    </w:p>
    <w:p w14:paraId="0AC5F2AA">
      <w:pPr>
        <w:pStyle w:val="29"/>
        <w:numPr>
          <w:ilvl w:val="0"/>
          <w:numId w:val="15"/>
        </w:numPr>
        <w:tabs>
          <w:tab w:val="left" w:pos="869"/>
        </w:tabs>
        <w:spacing w:line="269" w:lineRule="exact"/>
        <w:ind w:hanging="317"/>
        <w:jc w:val="left"/>
        <w:rPr>
          <w:color w:val="auto"/>
          <w:szCs w:val="21"/>
          <w:highlight w:val="none"/>
        </w:rPr>
      </w:pPr>
      <w:r>
        <w:rPr>
          <w:color w:val="auto"/>
          <w:szCs w:val="21"/>
          <w:highlight w:val="none"/>
        </w:rPr>
        <w:t>企业近三年的施工简历及安全施工业绩证明文件。</w:t>
      </w:r>
    </w:p>
    <w:p w14:paraId="7607BB60">
      <w:pPr>
        <w:pStyle w:val="8"/>
        <w:spacing w:before="5"/>
        <w:rPr>
          <w:color w:val="auto"/>
          <w:sz w:val="21"/>
          <w:szCs w:val="21"/>
          <w:highlight w:val="none"/>
        </w:rPr>
      </w:pPr>
    </w:p>
    <w:p w14:paraId="1049593B">
      <w:pPr>
        <w:pStyle w:val="29"/>
        <w:numPr>
          <w:ilvl w:val="0"/>
          <w:numId w:val="15"/>
        </w:numPr>
        <w:tabs>
          <w:tab w:val="left" w:pos="869"/>
        </w:tabs>
        <w:spacing w:before="1" w:line="417" w:lineRule="auto"/>
        <w:ind w:left="132" w:right="424" w:firstLine="420"/>
        <w:jc w:val="left"/>
        <w:rPr>
          <w:color w:val="auto"/>
          <w:szCs w:val="21"/>
          <w:highlight w:val="none"/>
        </w:rPr>
      </w:pPr>
      <w:r>
        <w:rPr>
          <w:color w:val="auto"/>
          <w:spacing w:val="-9"/>
          <w:szCs w:val="21"/>
          <w:highlight w:val="none"/>
        </w:rPr>
        <w:t>企业主要安全管理人员（包括项目经理、专职安全管理人员）经建设主管部门安全生产知识考核</w:t>
      </w:r>
      <w:r>
        <w:rPr>
          <w:color w:val="auto"/>
          <w:szCs w:val="21"/>
          <w:highlight w:val="none"/>
        </w:rPr>
        <w:t>合格证书。</w:t>
      </w:r>
    </w:p>
    <w:p w14:paraId="455B36C8">
      <w:pPr>
        <w:pStyle w:val="29"/>
        <w:numPr>
          <w:ilvl w:val="0"/>
          <w:numId w:val="15"/>
        </w:numPr>
        <w:tabs>
          <w:tab w:val="left" w:pos="869"/>
        </w:tabs>
        <w:spacing w:line="269" w:lineRule="exact"/>
        <w:ind w:hanging="317"/>
        <w:jc w:val="left"/>
        <w:rPr>
          <w:color w:val="auto"/>
          <w:szCs w:val="21"/>
          <w:highlight w:val="none"/>
        </w:rPr>
      </w:pPr>
      <w:r>
        <w:rPr>
          <w:color w:val="auto"/>
          <w:szCs w:val="21"/>
          <w:highlight w:val="none"/>
        </w:rPr>
        <w:t>特种作业人员资格证书。</w:t>
      </w:r>
    </w:p>
    <w:p w14:paraId="34242E2B">
      <w:pPr>
        <w:pStyle w:val="8"/>
        <w:spacing w:before="6"/>
        <w:rPr>
          <w:color w:val="auto"/>
          <w:sz w:val="21"/>
          <w:szCs w:val="21"/>
          <w:highlight w:val="none"/>
        </w:rPr>
      </w:pPr>
    </w:p>
    <w:p w14:paraId="09FD7466">
      <w:pPr>
        <w:pStyle w:val="29"/>
        <w:numPr>
          <w:ilvl w:val="0"/>
          <w:numId w:val="15"/>
        </w:numPr>
        <w:tabs>
          <w:tab w:val="left" w:pos="869"/>
        </w:tabs>
        <w:ind w:hanging="317"/>
        <w:jc w:val="left"/>
        <w:rPr>
          <w:color w:val="auto"/>
          <w:szCs w:val="21"/>
          <w:highlight w:val="none"/>
        </w:rPr>
      </w:pPr>
      <w:r>
        <w:rPr>
          <w:color w:val="auto"/>
          <w:szCs w:val="21"/>
          <w:highlight w:val="none"/>
        </w:rPr>
        <w:t>项目安全管理机构及其人员配备（承包人必须配有专职的安全员）。</w:t>
      </w:r>
    </w:p>
    <w:p w14:paraId="221E0BB5">
      <w:pPr>
        <w:pStyle w:val="8"/>
        <w:spacing w:before="7"/>
        <w:rPr>
          <w:color w:val="auto"/>
          <w:sz w:val="21"/>
          <w:szCs w:val="21"/>
          <w:highlight w:val="none"/>
        </w:rPr>
      </w:pPr>
    </w:p>
    <w:p w14:paraId="4B2E4623">
      <w:pPr>
        <w:pStyle w:val="29"/>
        <w:numPr>
          <w:ilvl w:val="0"/>
          <w:numId w:val="15"/>
        </w:numPr>
        <w:tabs>
          <w:tab w:val="left" w:pos="869"/>
        </w:tabs>
        <w:spacing w:line="417" w:lineRule="auto"/>
        <w:ind w:left="552" w:right="1809" w:firstLine="0"/>
        <w:jc w:val="left"/>
        <w:rPr>
          <w:color w:val="auto"/>
          <w:szCs w:val="21"/>
          <w:highlight w:val="none"/>
        </w:rPr>
      </w:pPr>
      <w:r>
        <w:rPr>
          <w:color w:val="auto"/>
          <w:w w:val="95"/>
          <w:szCs w:val="21"/>
          <w:highlight w:val="none"/>
        </w:rPr>
        <w:t>适</w:t>
      </w:r>
      <w:r>
        <w:rPr>
          <w:color w:val="auto"/>
          <w:szCs w:val="21"/>
          <w:highlight w:val="none"/>
        </w:rPr>
        <w:t>用于项目的安全管理体系及保证体系文件（安全管理大纲及管理程序文件）。  六、人员基本素质</w:t>
      </w:r>
    </w:p>
    <w:p w14:paraId="630501C4">
      <w:pPr>
        <w:pStyle w:val="8"/>
        <w:spacing w:line="269" w:lineRule="exact"/>
        <w:ind w:left="552"/>
        <w:rPr>
          <w:color w:val="auto"/>
          <w:sz w:val="21"/>
          <w:szCs w:val="21"/>
          <w:highlight w:val="none"/>
        </w:rPr>
      </w:pPr>
      <w:r>
        <w:rPr>
          <w:color w:val="auto"/>
          <w:sz w:val="21"/>
          <w:szCs w:val="21"/>
          <w:highlight w:val="none"/>
        </w:rPr>
        <w:t>承包人提供的人员必须满足下列要求：</w:t>
      </w:r>
    </w:p>
    <w:p w14:paraId="2B0EBA0B">
      <w:pPr>
        <w:pStyle w:val="8"/>
        <w:spacing w:before="7"/>
        <w:rPr>
          <w:color w:val="auto"/>
          <w:sz w:val="21"/>
          <w:szCs w:val="21"/>
          <w:highlight w:val="none"/>
        </w:rPr>
      </w:pPr>
    </w:p>
    <w:p w14:paraId="2FB65647">
      <w:pPr>
        <w:pStyle w:val="29"/>
        <w:numPr>
          <w:ilvl w:val="0"/>
          <w:numId w:val="16"/>
        </w:numPr>
        <w:tabs>
          <w:tab w:val="left" w:pos="869"/>
        </w:tabs>
        <w:spacing w:line="417" w:lineRule="auto"/>
        <w:ind w:right="426" w:firstLine="420"/>
        <w:rPr>
          <w:color w:val="auto"/>
          <w:szCs w:val="21"/>
          <w:highlight w:val="none"/>
        </w:rPr>
      </w:pPr>
      <w:r>
        <w:rPr>
          <w:color w:val="auto"/>
          <w:szCs w:val="21"/>
          <w:highlight w:val="none"/>
        </w:rPr>
        <w:t>身体健康，无影响工作的精神疾病、无传染病和其他重大疾病；承包人需对其雇用的施工人员签</w:t>
      </w:r>
      <w:r>
        <w:rPr>
          <w:color w:val="auto"/>
          <w:spacing w:val="-8"/>
          <w:szCs w:val="21"/>
          <w:highlight w:val="none"/>
        </w:rPr>
        <w:t>发健康声明并保证其健康。其中体检证明材料（县级以上医院）和健康声明作为人员办理入场证件的必备材料。</w:t>
      </w:r>
    </w:p>
    <w:p w14:paraId="4B07F7CF">
      <w:pPr>
        <w:pStyle w:val="29"/>
        <w:numPr>
          <w:ilvl w:val="0"/>
          <w:numId w:val="16"/>
        </w:numPr>
        <w:tabs>
          <w:tab w:val="left" w:pos="869"/>
        </w:tabs>
        <w:spacing w:line="269" w:lineRule="exact"/>
        <w:ind w:left="868" w:hanging="317"/>
        <w:jc w:val="left"/>
        <w:rPr>
          <w:color w:val="auto"/>
          <w:szCs w:val="21"/>
          <w:highlight w:val="none"/>
        </w:rPr>
      </w:pPr>
      <w:r>
        <w:rPr>
          <w:color w:val="auto"/>
          <w:szCs w:val="21"/>
          <w:highlight w:val="none"/>
        </w:rPr>
        <w:t>无刑事案件牵连。</w:t>
      </w:r>
    </w:p>
    <w:p w14:paraId="4A5A2D7C">
      <w:pPr>
        <w:pStyle w:val="8"/>
        <w:spacing w:before="6"/>
        <w:rPr>
          <w:color w:val="auto"/>
          <w:sz w:val="21"/>
          <w:szCs w:val="21"/>
          <w:highlight w:val="none"/>
        </w:rPr>
      </w:pPr>
    </w:p>
    <w:p w14:paraId="15070DB4">
      <w:pPr>
        <w:pStyle w:val="29"/>
        <w:numPr>
          <w:ilvl w:val="0"/>
          <w:numId w:val="16"/>
        </w:numPr>
        <w:tabs>
          <w:tab w:val="left" w:pos="869"/>
        </w:tabs>
        <w:spacing w:before="1" w:line="417" w:lineRule="auto"/>
        <w:ind w:left="552" w:right="4748" w:firstLine="0"/>
        <w:jc w:val="left"/>
        <w:rPr>
          <w:color w:val="auto"/>
          <w:szCs w:val="21"/>
          <w:highlight w:val="none"/>
        </w:rPr>
      </w:pPr>
      <w:r>
        <w:rPr>
          <w:color w:val="auto"/>
          <w:spacing w:val="-8"/>
          <w:szCs w:val="21"/>
          <w:highlight w:val="none"/>
        </w:rPr>
        <w:t>无吸毒、酗酒、赌博、嫖娼等恶习及违法行为。</w:t>
      </w:r>
    </w:p>
    <w:p w14:paraId="0279C0D3">
      <w:pPr>
        <w:pStyle w:val="29"/>
        <w:tabs>
          <w:tab w:val="left" w:pos="869"/>
        </w:tabs>
        <w:spacing w:before="1" w:line="417" w:lineRule="auto"/>
        <w:ind w:left="552" w:right="4748" w:firstLine="0"/>
        <w:jc w:val="left"/>
        <w:rPr>
          <w:color w:val="auto"/>
          <w:szCs w:val="21"/>
          <w:highlight w:val="none"/>
        </w:rPr>
      </w:pPr>
      <w:r>
        <w:rPr>
          <w:color w:val="auto"/>
          <w:szCs w:val="21"/>
          <w:highlight w:val="none"/>
        </w:rPr>
        <w:t>七、劳动保护</w:t>
      </w:r>
    </w:p>
    <w:p w14:paraId="13C3AEDD">
      <w:pPr>
        <w:pStyle w:val="29"/>
        <w:numPr>
          <w:ilvl w:val="0"/>
          <w:numId w:val="17"/>
        </w:numPr>
        <w:tabs>
          <w:tab w:val="left" w:pos="869"/>
        </w:tabs>
        <w:spacing w:line="417" w:lineRule="auto"/>
        <w:ind w:right="424" w:firstLine="420"/>
        <w:jc w:val="left"/>
        <w:rPr>
          <w:color w:val="auto"/>
          <w:szCs w:val="21"/>
          <w:highlight w:val="none"/>
        </w:rPr>
      </w:pPr>
      <w:r>
        <w:rPr>
          <w:color w:val="auto"/>
          <w:spacing w:val="-8"/>
          <w:szCs w:val="21"/>
          <w:highlight w:val="none"/>
        </w:rPr>
        <w:t>承包人负责为本单位任何用工形式的员工提供个人劳动保护用品（包括工作服、安全帽、安全鞋</w:t>
      </w:r>
      <w:r>
        <w:rPr>
          <w:color w:val="auto"/>
          <w:spacing w:val="-6"/>
          <w:szCs w:val="21"/>
          <w:highlight w:val="none"/>
        </w:rPr>
        <w:t>等）。</w:t>
      </w:r>
    </w:p>
    <w:p w14:paraId="40543371">
      <w:pPr>
        <w:pStyle w:val="29"/>
        <w:numPr>
          <w:ilvl w:val="0"/>
          <w:numId w:val="17"/>
        </w:numPr>
        <w:tabs>
          <w:tab w:val="left" w:pos="869"/>
        </w:tabs>
        <w:spacing w:line="269" w:lineRule="exact"/>
        <w:ind w:left="868" w:hanging="317"/>
        <w:jc w:val="left"/>
        <w:rPr>
          <w:color w:val="auto"/>
          <w:szCs w:val="21"/>
          <w:highlight w:val="none"/>
        </w:rPr>
      </w:pPr>
      <w:r>
        <w:rPr>
          <w:color w:val="auto"/>
          <w:szCs w:val="21"/>
          <w:highlight w:val="none"/>
        </w:rPr>
        <w:t>承包人负责向特殊工种的员工提供特殊劳动保护，否则不得从事特殊工种作业。</w:t>
      </w:r>
    </w:p>
    <w:p w14:paraId="1BAEA0C3">
      <w:pPr>
        <w:pStyle w:val="8"/>
        <w:spacing w:before="6"/>
        <w:rPr>
          <w:color w:val="auto"/>
          <w:sz w:val="21"/>
          <w:szCs w:val="21"/>
          <w:highlight w:val="none"/>
        </w:rPr>
      </w:pPr>
    </w:p>
    <w:p w14:paraId="5C124D04">
      <w:pPr>
        <w:pStyle w:val="29"/>
        <w:numPr>
          <w:ilvl w:val="0"/>
          <w:numId w:val="17"/>
        </w:numPr>
        <w:tabs>
          <w:tab w:val="left" w:pos="869"/>
        </w:tabs>
        <w:ind w:left="868" w:hanging="317"/>
        <w:jc w:val="left"/>
        <w:rPr>
          <w:color w:val="auto"/>
          <w:szCs w:val="21"/>
          <w:highlight w:val="none"/>
        </w:rPr>
      </w:pPr>
      <w:r>
        <w:rPr>
          <w:color w:val="auto"/>
          <w:szCs w:val="21"/>
          <w:highlight w:val="none"/>
        </w:rPr>
        <w:t>发包人委托的监理公司有权检查承包人的个人劳动保护用品是否符合国家的相应标准。</w:t>
      </w:r>
    </w:p>
    <w:p w14:paraId="57B06D2B">
      <w:pPr>
        <w:pStyle w:val="8"/>
        <w:spacing w:before="7"/>
        <w:rPr>
          <w:color w:val="auto"/>
          <w:sz w:val="21"/>
          <w:szCs w:val="21"/>
          <w:highlight w:val="none"/>
        </w:rPr>
      </w:pPr>
    </w:p>
    <w:p w14:paraId="64A504E8">
      <w:pPr>
        <w:pStyle w:val="29"/>
        <w:numPr>
          <w:ilvl w:val="0"/>
          <w:numId w:val="17"/>
        </w:numPr>
        <w:tabs>
          <w:tab w:val="left" w:pos="869"/>
        </w:tabs>
        <w:spacing w:line="417" w:lineRule="auto"/>
        <w:ind w:right="426" w:firstLine="420"/>
        <w:jc w:val="left"/>
        <w:rPr>
          <w:color w:val="auto"/>
          <w:szCs w:val="21"/>
          <w:highlight w:val="none"/>
        </w:rPr>
      </w:pPr>
      <w:r>
        <w:rPr>
          <w:color w:val="auto"/>
          <w:spacing w:val="-2"/>
          <w:szCs w:val="21"/>
          <w:highlight w:val="none"/>
        </w:rPr>
        <w:t>承包人在特殊风险场所作业而需要特殊防护用品或安全仪表时，必须在上述防护用品全部到位后才能开工。</w:t>
      </w:r>
    </w:p>
    <w:p w14:paraId="7C03FDBC">
      <w:pPr>
        <w:pStyle w:val="29"/>
        <w:numPr>
          <w:ilvl w:val="0"/>
          <w:numId w:val="17"/>
        </w:numPr>
        <w:tabs>
          <w:tab w:val="left" w:pos="869"/>
        </w:tabs>
        <w:spacing w:line="417" w:lineRule="auto"/>
        <w:ind w:left="552" w:right="2229" w:firstLine="0"/>
        <w:jc w:val="left"/>
        <w:rPr>
          <w:color w:val="auto"/>
          <w:szCs w:val="21"/>
          <w:highlight w:val="none"/>
        </w:rPr>
      </w:pPr>
      <w:r>
        <w:rPr>
          <w:color w:val="auto"/>
          <w:spacing w:val="-2"/>
          <w:szCs w:val="21"/>
          <w:highlight w:val="none"/>
        </w:rPr>
        <w:t>承包人应配备临时安全围栏、警示带、警告标志、防火布等集体防护用品。</w:t>
      </w:r>
    </w:p>
    <w:p w14:paraId="0705072B">
      <w:pPr>
        <w:pStyle w:val="29"/>
        <w:tabs>
          <w:tab w:val="left" w:pos="869"/>
        </w:tabs>
        <w:spacing w:line="417" w:lineRule="auto"/>
        <w:ind w:left="552" w:right="2229" w:firstLine="0"/>
        <w:jc w:val="left"/>
        <w:rPr>
          <w:color w:val="auto"/>
          <w:szCs w:val="21"/>
          <w:highlight w:val="none"/>
        </w:rPr>
      </w:pPr>
      <w:r>
        <w:rPr>
          <w:color w:val="auto"/>
          <w:szCs w:val="21"/>
          <w:highlight w:val="none"/>
        </w:rPr>
        <w:t>八、施工机具与材料承包人对带入现场的施工机械和工器具的安全负责。</w:t>
      </w:r>
    </w:p>
    <w:p w14:paraId="5A0DE0E4">
      <w:pPr>
        <w:pStyle w:val="8"/>
        <w:spacing w:before="6"/>
        <w:rPr>
          <w:color w:val="auto"/>
          <w:sz w:val="21"/>
          <w:szCs w:val="21"/>
          <w:highlight w:val="none"/>
        </w:rPr>
      </w:pPr>
    </w:p>
    <w:p w14:paraId="53B1E952">
      <w:pPr>
        <w:pStyle w:val="29"/>
        <w:numPr>
          <w:ilvl w:val="1"/>
          <w:numId w:val="17"/>
        </w:numPr>
        <w:tabs>
          <w:tab w:val="left" w:pos="1039"/>
        </w:tabs>
        <w:spacing w:before="1" w:line="417" w:lineRule="auto"/>
        <w:ind w:left="303" w:right="256" w:firstLine="420"/>
        <w:jc w:val="left"/>
        <w:rPr>
          <w:color w:val="auto"/>
          <w:szCs w:val="21"/>
          <w:highlight w:val="none"/>
        </w:rPr>
      </w:pPr>
      <w:r>
        <w:rPr>
          <w:color w:val="auto"/>
          <w:szCs w:val="21"/>
          <w:highlight w:val="none"/>
        </w:rPr>
        <w:t>对于承包人带入现场的特殊工器具，如起重设备、索具、机动车辆、压缩气瓶等，承包人必须按</w:t>
      </w:r>
      <w:r>
        <w:rPr>
          <w:color w:val="auto"/>
          <w:spacing w:val="-5"/>
          <w:szCs w:val="21"/>
          <w:highlight w:val="none"/>
        </w:rPr>
        <w:t>国家法规和标准进行检测、试验，并持有法定部门出具的检验证书。</w:t>
      </w:r>
    </w:p>
    <w:p w14:paraId="13EE6F01">
      <w:pPr>
        <w:pStyle w:val="29"/>
        <w:numPr>
          <w:ilvl w:val="1"/>
          <w:numId w:val="17"/>
        </w:numPr>
        <w:tabs>
          <w:tab w:val="left" w:pos="1039"/>
        </w:tabs>
        <w:spacing w:line="417" w:lineRule="auto"/>
        <w:ind w:left="303" w:right="253" w:firstLine="420"/>
        <w:jc w:val="left"/>
        <w:rPr>
          <w:color w:val="auto"/>
          <w:szCs w:val="21"/>
          <w:highlight w:val="none"/>
        </w:rPr>
      </w:pPr>
      <w:r>
        <w:rPr>
          <w:color w:val="auto"/>
          <w:spacing w:val="-5"/>
          <w:szCs w:val="21"/>
          <w:highlight w:val="none"/>
        </w:rPr>
        <w:t>对于不属于法定检测的工器具，承包人也必须建立相应的管理、检测制度，这些工器具包括登高</w:t>
      </w:r>
      <w:r>
        <w:rPr>
          <w:color w:val="auto"/>
          <w:spacing w:val="-4"/>
          <w:szCs w:val="21"/>
          <w:highlight w:val="none"/>
        </w:rPr>
        <w:t>工具、脚手架材料、电动工具、安全防护设备及用具等。</w:t>
      </w:r>
    </w:p>
    <w:p w14:paraId="5D496D01">
      <w:pPr>
        <w:pStyle w:val="8"/>
        <w:spacing w:line="269" w:lineRule="exact"/>
        <w:ind w:left="723"/>
        <w:rPr>
          <w:color w:val="auto"/>
          <w:sz w:val="21"/>
          <w:szCs w:val="21"/>
          <w:highlight w:val="none"/>
        </w:rPr>
      </w:pPr>
      <w:r>
        <w:rPr>
          <w:color w:val="auto"/>
          <w:sz w:val="21"/>
          <w:szCs w:val="21"/>
          <w:highlight w:val="none"/>
        </w:rPr>
        <w:t>九、开工前安全条件检查</w:t>
      </w:r>
    </w:p>
    <w:p w14:paraId="0F692595">
      <w:pPr>
        <w:pStyle w:val="8"/>
        <w:spacing w:before="6"/>
        <w:rPr>
          <w:color w:val="auto"/>
          <w:sz w:val="21"/>
          <w:szCs w:val="21"/>
          <w:highlight w:val="none"/>
        </w:rPr>
      </w:pPr>
    </w:p>
    <w:p w14:paraId="6B74C9EB">
      <w:pPr>
        <w:pStyle w:val="29"/>
        <w:numPr>
          <w:ilvl w:val="0"/>
          <w:numId w:val="18"/>
        </w:numPr>
        <w:tabs>
          <w:tab w:val="left" w:pos="1039"/>
        </w:tabs>
        <w:spacing w:line="417" w:lineRule="auto"/>
        <w:ind w:right="253" w:firstLine="420"/>
        <w:rPr>
          <w:color w:val="auto"/>
          <w:szCs w:val="21"/>
          <w:highlight w:val="none"/>
        </w:rPr>
      </w:pPr>
      <w:r>
        <w:rPr>
          <w:color w:val="auto"/>
          <w:spacing w:val="-4"/>
          <w:szCs w:val="21"/>
          <w:highlight w:val="none"/>
        </w:rPr>
        <w:t xml:space="preserve">发包人委托的监理公司将在合同生效后，工程项目正式开工 </w:t>
      </w:r>
      <w:r>
        <w:rPr>
          <w:color w:val="auto"/>
          <w:szCs w:val="21"/>
          <w:highlight w:val="none"/>
        </w:rPr>
        <w:t>5</w:t>
      </w:r>
      <w:r>
        <w:rPr>
          <w:color w:val="auto"/>
          <w:spacing w:val="-10"/>
          <w:szCs w:val="21"/>
          <w:highlight w:val="none"/>
        </w:rPr>
        <w:t xml:space="preserve"> 个工作日前，依据合同安全条款的要求逐项对承包人安全准备情况进行检查。不满足开工安全条件时，承包人将不得开工，由此产生的工期和成本的影响，由承包人自行负责。</w:t>
      </w:r>
    </w:p>
    <w:p w14:paraId="3ED50BB8">
      <w:pPr>
        <w:pStyle w:val="29"/>
        <w:numPr>
          <w:ilvl w:val="0"/>
          <w:numId w:val="18"/>
        </w:numPr>
        <w:tabs>
          <w:tab w:val="left" w:pos="1039"/>
        </w:tabs>
        <w:spacing w:line="417" w:lineRule="auto"/>
        <w:ind w:right="253" w:firstLine="420"/>
        <w:rPr>
          <w:color w:val="auto"/>
          <w:szCs w:val="21"/>
          <w:highlight w:val="none"/>
        </w:rPr>
      </w:pPr>
      <w:r>
        <w:rPr>
          <w:color w:val="auto"/>
          <w:spacing w:val="-10"/>
          <w:szCs w:val="21"/>
          <w:highlight w:val="none"/>
        </w:rPr>
        <w:t>开工前安全条件检查的基本内容包括：安全管理体系建设、安全资金投入、危险源识别和安全风</w:t>
      </w:r>
      <w:r>
        <w:rPr>
          <w:color w:val="auto"/>
          <w:spacing w:val="-4"/>
          <w:szCs w:val="21"/>
          <w:highlight w:val="none"/>
        </w:rPr>
        <w:t>险分析、施工机械的安全状况、安全工器具和材料、安全培训教材和教员、专职安全人员的到岗情况、培训的有效性、人员控制、个人劳动保护用品配备等内容。</w:t>
      </w:r>
    </w:p>
    <w:p w14:paraId="2A53E4D6">
      <w:pPr>
        <w:pStyle w:val="29"/>
        <w:numPr>
          <w:ilvl w:val="0"/>
          <w:numId w:val="18"/>
        </w:numPr>
        <w:tabs>
          <w:tab w:val="left" w:pos="1039"/>
        </w:tabs>
        <w:spacing w:line="417" w:lineRule="auto"/>
        <w:ind w:right="256" w:firstLine="420"/>
        <w:jc w:val="left"/>
        <w:rPr>
          <w:color w:val="auto"/>
          <w:szCs w:val="21"/>
          <w:highlight w:val="none"/>
        </w:rPr>
      </w:pPr>
      <w:r>
        <w:rPr>
          <w:color w:val="auto"/>
          <w:spacing w:val="-10"/>
          <w:szCs w:val="21"/>
          <w:highlight w:val="none"/>
        </w:rPr>
        <w:t>发包人委托的监理公司检查发现的缺陷，承包人应在规定期限内完成整改。对于重大缺陷，发包</w:t>
      </w:r>
      <w:r>
        <w:rPr>
          <w:color w:val="auto"/>
          <w:spacing w:val="-4"/>
          <w:szCs w:val="21"/>
          <w:highlight w:val="none"/>
        </w:rPr>
        <w:t>人委托的监理公司有权要求承包人推迟开工，由此对工期产生的影响或经济损失，由承包人承担。</w:t>
      </w:r>
    </w:p>
    <w:p w14:paraId="6E4C6294">
      <w:pPr>
        <w:pStyle w:val="8"/>
        <w:spacing w:line="269" w:lineRule="exact"/>
        <w:ind w:left="723"/>
        <w:rPr>
          <w:color w:val="auto"/>
          <w:sz w:val="21"/>
          <w:szCs w:val="21"/>
          <w:highlight w:val="none"/>
        </w:rPr>
      </w:pPr>
      <w:r>
        <w:rPr>
          <w:color w:val="auto"/>
          <w:sz w:val="21"/>
          <w:szCs w:val="21"/>
          <w:highlight w:val="none"/>
        </w:rPr>
        <w:t>十、安全监督</w:t>
      </w:r>
    </w:p>
    <w:p w14:paraId="6A9754F2">
      <w:pPr>
        <w:pStyle w:val="8"/>
        <w:spacing w:before="6"/>
        <w:rPr>
          <w:color w:val="auto"/>
          <w:sz w:val="21"/>
          <w:szCs w:val="21"/>
          <w:highlight w:val="none"/>
        </w:rPr>
      </w:pPr>
    </w:p>
    <w:p w14:paraId="70ED4F38">
      <w:pPr>
        <w:pStyle w:val="29"/>
        <w:numPr>
          <w:ilvl w:val="0"/>
          <w:numId w:val="19"/>
        </w:numPr>
        <w:tabs>
          <w:tab w:val="left" w:pos="1039"/>
        </w:tabs>
        <w:jc w:val="left"/>
        <w:rPr>
          <w:color w:val="auto"/>
          <w:szCs w:val="21"/>
          <w:highlight w:val="none"/>
        </w:rPr>
      </w:pPr>
      <w:r>
        <w:rPr>
          <w:color w:val="auto"/>
          <w:szCs w:val="21"/>
          <w:highlight w:val="none"/>
        </w:rPr>
        <w:t>承包人应配备有满足项目安全管理需要的专职安全管理人员。</w:t>
      </w:r>
    </w:p>
    <w:p w14:paraId="417749B9">
      <w:pPr>
        <w:pStyle w:val="8"/>
        <w:spacing w:before="6"/>
        <w:rPr>
          <w:color w:val="auto"/>
          <w:sz w:val="21"/>
          <w:szCs w:val="21"/>
          <w:highlight w:val="none"/>
        </w:rPr>
      </w:pPr>
    </w:p>
    <w:p w14:paraId="3D3F46DC">
      <w:pPr>
        <w:pStyle w:val="29"/>
        <w:numPr>
          <w:ilvl w:val="0"/>
          <w:numId w:val="19"/>
        </w:numPr>
        <w:tabs>
          <w:tab w:val="left" w:pos="1039"/>
        </w:tabs>
        <w:jc w:val="left"/>
        <w:rPr>
          <w:color w:val="auto"/>
          <w:szCs w:val="21"/>
          <w:highlight w:val="none"/>
        </w:rPr>
      </w:pPr>
      <w:r>
        <w:rPr>
          <w:color w:val="auto"/>
          <w:szCs w:val="21"/>
          <w:highlight w:val="none"/>
        </w:rPr>
        <w:t>承包人的专职安全管理人员必须持建设主管部门颁发的安全生产知识考核合格证书。</w:t>
      </w:r>
    </w:p>
    <w:p w14:paraId="4ADAE76A">
      <w:pPr>
        <w:pStyle w:val="8"/>
        <w:spacing w:before="7"/>
        <w:rPr>
          <w:color w:val="auto"/>
          <w:sz w:val="21"/>
          <w:szCs w:val="21"/>
          <w:highlight w:val="none"/>
        </w:rPr>
      </w:pPr>
    </w:p>
    <w:p w14:paraId="753508FF">
      <w:pPr>
        <w:pStyle w:val="29"/>
        <w:numPr>
          <w:ilvl w:val="0"/>
          <w:numId w:val="19"/>
        </w:numPr>
        <w:tabs>
          <w:tab w:val="left" w:pos="1039"/>
        </w:tabs>
        <w:spacing w:line="417" w:lineRule="auto"/>
        <w:ind w:left="303" w:right="256" w:firstLine="420"/>
        <w:jc w:val="left"/>
        <w:rPr>
          <w:color w:val="auto"/>
          <w:szCs w:val="21"/>
          <w:highlight w:val="none"/>
        </w:rPr>
      </w:pPr>
      <w:r>
        <w:rPr>
          <w:color w:val="auto"/>
          <w:szCs w:val="21"/>
          <w:highlight w:val="none"/>
        </w:rPr>
        <w:t>承包人的专职安全管理人员在业务上接受发包人委托的监理公司和发包人安全管理部门的协调和指导。</w:t>
      </w:r>
    </w:p>
    <w:p w14:paraId="7C400F12">
      <w:pPr>
        <w:pStyle w:val="29"/>
        <w:numPr>
          <w:ilvl w:val="0"/>
          <w:numId w:val="19"/>
        </w:numPr>
        <w:tabs>
          <w:tab w:val="left" w:pos="1039"/>
        </w:tabs>
        <w:spacing w:line="269" w:lineRule="exact"/>
        <w:jc w:val="left"/>
        <w:rPr>
          <w:color w:val="auto"/>
          <w:szCs w:val="21"/>
          <w:highlight w:val="none"/>
        </w:rPr>
      </w:pPr>
      <w:r>
        <w:rPr>
          <w:color w:val="auto"/>
          <w:spacing w:val="-7"/>
          <w:szCs w:val="21"/>
          <w:highlight w:val="none"/>
        </w:rPr>
        <w:t>承包人应建立班前安全交底制度；施工期间坚持开展安全检查和日常安全监督并形成相应的记录。</w:t>
      </w:r>
    </w:p>
    <w:p w14:paraId="5961148B">
      <w:pPr>
        <w:pStyle w:val="8"/>
        <w:spacing w:before="7"/>
        <w:rPr>
          <w:color w:val="auto"/>
          <w:sz w:val="21"/>
          <w:szCs w:val="21"/>
          <w:highlight w:val="none"/>
        </w:rPr>
      </w:pPr>
    </w:p>
    <w:p w14:paraId="2A056870">
      <w:pPr>
        <w:pStyle w:val="29"/>
        <w:numPr>
          <w:ilvl w:val="0"/>
          <w:numId w:val="19"/>
        </w:numPr>
        <w:tabs>
          <w:tab w:val="left" w:pos="1039"/>
        </w:tabs>
        <w:spacing w:line="417" w:lineRule="auto"/>
        <w:ind w:left="303" w:right="256" w:firstLine="420"/>
        <w:jc w:val="left"/>
        <w:rPr>
          <w:color w:val="auto"/>
          <w:szCs w:val="21"/>
          <w:highlight w:val="none"/>
        </w:rPr>
      </w:pPr>
      <w:r>
        <w:rPr>
          <w:color w:val="auto"/>
          <w:spacing w:val="-3"/>
          <w:szCs w:val="21"/>
          <w:highlight w:val="none"/>
        </w:rPr>
        <w:t>承包人应在每个作业区任命兼职安全员，赋予兼职安全员相应的授权和义务，并对兼职安全员进行定期考核。</w:t>
      </w:r>
    </w:p>
    <w:p w14:paraId="759B3986">
      <w:pPr>
        <w:pStyle w:val="29"/>
        <w:numPr>
          <w:ilvl w:val="0"/>
          <w:numId w:val="19"/>
        </w:numPr>
        <w:tabs>
          <w:tab w:val="left" w:pos="1039"/>
        </w:tabs>
        <w:spacing w:line="269" w:lineRule="exact"/>
        <w:jc w:val="left"/>
        <w:rPr>
          <w:color w:val="auto"/>
          <w:szCs w:val="21"/>
          <w:highlight w:val="none"/>
        </w:rPr>
      </w:pPr>
      <w:r>
        <w:rPr>
          <w:color w:val="auto"/>
          <w:szCs w:val="21"/>
          <w:highlight w:val="none"/>
        </w:rPr>
        <w:t>承包人应接受和配合发包人专业部门及委托的监理公司的监督与安全评价。</w:t>
      </w:r>
    </w:p>
    <w:p w14:paraId="5BE9EE79">
      <w:pPr>
        <w:pStyle w:val="8"/>
        <w:spacing w:before="7"/>
        <w:rPr>
          <w:color w:val="auto"/>
          <w:sz w:val="21"/>
          <w:szCs w:val="21"/>
          <w:highlight w:val="none"/>
        </w:rPr>
      </w:pPr>
    </w:p>
    <w:p w14:paraId="51961519">
      <w:pPr>
        <w:pStyle w:val="29"/>
        <w:numPr>
          <w:ilvl w:val="0"/>
          <w:numId w:val="19"/>
        </w:numPr>
        <w:tabs>
          <w:tab w:val="left" w:pos="1039"/>
        </w:tabs>
        <w:spacing w:line="417" w:lineRule="auto"/>
        <w:ind w:left="303" w:right="253" w:firstLine="420"/>
        <w:jc w:val="left"/>
        <w:rPr>
          <w:color w:val="auto"/>
          <w:szCs w:val="21"/>
          <w:highlight w:val="none"/>
        </w:rPr>
      </w:pPr>
      <w:r>
        <w:rPr>
          <w:color w:val="auto"/>
          <w:spacing w:val="-2"/>
          <w:szCs w:val="21"/>
          <w:highlight w:val="none"/>
        </w:rPr>
        <w:t>发包人和委托的监理公司有权对承包人履行安全管理协议的情况进行监督，并有权对违章行为实行停工和处罚，处罚情况将通知承包人。涉及经济处罚时将直接通知合同管理部门从合同结算中扣除。</w:t>
      </w:r>
    </w:p>
    <w:p w14:paraId="7D772C1D">
      <w:pPr>
        <w:pStyle w:val="8"/>
        <w:spacing w:line="269" w:lineRule="exact"/>
        <w:ind w:left="723"/>
        <w:rPr>
          <w:color w:val="auto"/>
          <w:sz w:val="21"/>
          <w:szCs w:val="21"/>
          <w:highlight w:val="none"/>
        </w:rPr>
      </w:pPr>
      <w:r>
        <w:rPr>
          <w:color w:val="auto"/>
          <w:sz w:val="21"/>
          <w:szCs w:val="21"/>
          <w:highlight w:val="none"/>
        </w:rPr>
        <w:t>十一、安全培训与授权</w:t>
      </w:r>
    </w:p>
    <w:p w14:paraId="2E9B50C3">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承包人所有特殊工种人员必须持证上岗，发包人和发包人委托的监理公司有权对其进行抽查。承包人要建立特殊工种定期培训和检查计划，这些工种包括但不限于：机动车驾驶员、焊工、起重工、电工等。</w:t>
      </w:r>
    </w:p>
    <w:p w14:paraId="6D8B24C6">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承包人应在特殊工种之外的其他工种中，筛选出高风险工种，并对其开展针对性的专题安全培训。</w:t>
      </w:r>
    </w:p>
    <w:p w14:paraId="3ECEB5B8">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承包人应组织 “入场培训”和考核。发包人委托的监理公司有权监督培训、考核情况或组织抽查考核。</w:t>
      </w:r>
    </w:p>
    <w:p w14:paraId="41F754D1">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承包人应建立安全培训和考核机制，编制培训教材和培训滚动计划。承包人应组织安全考试/考核，建立培训考核记录，发包人委托的监理公司有权查看这些记录。</w:t>
      </w:r>
    </w:p>
    <w:p w14:paraId="0717D0D0">
      <w:pPr>
        <w:pStyle w:val="8"/>
        <w:spacing w:line="269" w:lineRule="exact"/>
        <w:ind w:left="552"/>
        <w:rPr>
          <w:color w:val="auto"/>
          <w:sz w:val="21"/>
          <w:szCs w:val="21"/>
          <w:highlight w:val="none"/>
        </w:rPr>
      </w:pPr>
      <w:r>
        <w:rPr>
          <w:color w:val="auto"/>
          <w:sz w:val="21"/>
          <w:szCs w:val="21"/>
          <w:highlight w:val="none"/>
        </w:rPr>
        <w:t>十二、职业健康与卫生防疫</w:t>
      </w:r>
    </w:p>
    <w:p w14:paraId="41AD4E0A">
      <w:pPr>
        <w:pStyle w:val="8"/>
        <w:spacing w:before="6"/>
        <w:rPr>
          <w:color w:val="auto"/>
          <w:sz w:val="21"/>
          <w:szCs w:val="21"/>
          <w:highlight w:val="none"/>
        </w:rPr>
      </w:pPr>
    </w:p>
    <w:p w14:paraId="7AA85F8B">
      <w:pPr>
        <w:pStyle w:val="29"/>
        <w:numPr>
          <w:ilvl w:val="0"/>
          <w:numId w:val="21"/>
        </w:numPr>
        <w:tabs>
          <w:tab w:val="left" w:pos="869"/>
        </w:tabs>
        <w:spacing w:line="417" w:lineRule="auto"/>
        <w:ind w:right="424" w:firstLine="420"/>
        <w:jc w:val="left"/>
        <w:rPr>
          <w:color w:val="auto"/>
          <w:szCs w:val="21"/>
          <w:highlight w:val="none"/>
        </w:rPr>
      </w:pPr>
      <w:r>
        <w:rPr>
          <w:color w:val="auto"/>
          <w:spacing w:val="-3"/>
          <w:szCs w:val="21"/>
          <w:highlight w:val="none"/>
        </w:rPr>
        <w:t>承包人应有特殊健康检查制度，预防有禁忌症患者从事有关职业，如恐高症患者不得从事高空作业，患有心血管疾病的人员不得从事繁重的体力劳动，特殊工种人员的体检应符合国家的规定。</w:t>
      </w:r>
    </w:p>
    <w:p w14:paraId="7EE165BC">
      <w:pPr>
        <w:pStyle w:val="29"/>
        <w:numPr>
          <w:ilvl w:val="0"/>
          <w:numId w:val="21"/>
        </w:numPr>
        <w:tabs>
          <w:tab w:val="left" w:pos="869"/>
        </w:tabs>
        <w:spacing w:line="269" w:lineRule="exact"/>
        <w:ind w:left="868" w:hanging="317"/>
        <w:jc w:val="left"/>
        <w:rPr>
          <w:color w:val="auto"/>
          <w:szCs w:val="21"/>
          <w:highlight w:val="none"/>
        </w:rPr>
      </w:pPr>
      <w:r>
        <w:rPr>
          <w:color w:val="auto"/>
          <w:szCs w:val="21"/>
          <w:highlight w:val="none"/>
        </w:rPr>
        <w:t>承包人应保证卫生防疫基本设施的投入，以满足医疗、急救的要求，建立外部医疗支持渠道。</w:t>
      </w:r>
    </w:p>
    <w:p w14:paraId="43758DBB">
      <w:pPr>
        <w:pStyle w:val="8"/>
        <w:spacing w:before="7"/>
        <w:rPr>
          <w:color w:val="auto"/>
          <w:sz w:val="21"/>
          <w:szCs w:val="21"/>
          <w:highlight w:val="none"/>
        </w:rPr>
      </w:pPr>
    </w:p>
    <w:p w14:paraId="19FC2954">
      <w:pPr>
        <w:pStyle w:val="29"/>
        <w:numPr>
          <w:ilvl w:val="0"/>
          <w:numId w:val="21"/>
        </w:numPr>
        <w:tabs>
          <w:tab w:val="left" w:pos="869"/>
        </w:tabs>
        <w:spacing w:line="417" w:lineRule="auto"/>
        <w:ind w:right="425" w:firstLine="420"/>
        <w:rPr>
          <w:color w:val="auto"/>
          <w:szCs w:val="21"/>
          <w:highlight w:val="none"/>
        </w:rPr>
      </w:pPr>
      <w:r>
        <w:rPr>
          <w:color w:val="auto"/>
          <w:szCs w:val="21"/>
          <w:highlight w:val="none"/>
        </w:rPr>
        <w:t>应建立卫生防疫措施计划，做好生活区和施工区的卫生防疫工作；制定和执行保证饮水卫生、饮</w:t>
      </w:r>
      <w:r>
        <w:rPr>
          <w:color w:val="auto"/>
          <w:spacing w:val="-4"/>
          <w:szCs w:val="21"/>
          <w:highlight w:val="none"/>
        </w:rPr>
        <w:t>食卫生、环境卫生和预防集体食物中毒的措施；有灭蚊、灭鼠和消毒的专项工作计划；有针对性地制订</w:t>
      </w:r>
      <w:r>
        <w:rPr>
          <w:color w:val="auto"/>
          <w:spacing w:val="-20"/>
          <w:szCs w:val="21"/>
          <w:highlight w:val="none"/>
        </w:rPr>
        <w:t xml:space="preserve">预防 </w:t>
      </w:r>
      <w:r>
        <w:rPr>
          <w:color w:val="auto"/>
          <w:szCs w:val="21"/>
          <w:highlight w:val="none"/>
        </w:rPr>
        <w:t>SARS、禽流感、疟疾、霍乱、肠道传染病、肝炎、H1N1</w:t>
      </w:r>
      <w:r>
        <w:rPr>
          <w:color w:val="auto"/>
          <w:spacing w:val="-8"/>
          <w:szCs w:val="21"/>
          <w:highlight w:val="none"/>
        </w:rPr>
        <w:t xml:space="preserve"> 流感等疾病的措施。</w:t>
      </w:r>
    </w:p>
    <w:p w14:paraId="43DBD350">
      <w:pPr>
        <w:pStyle w:val="8"/>
        <w:spacing w:line="269" w:lineRule="exact"/>
        <w:ind w:left="552"/>
        <w:rPr>
          <w:color w:val="auto"/>
          <w:sz w:val="21"/>
          <w:szCs w:val="21"/>
          <w:highlight w:val="none"/>
        </w:rPr>
      </w:pPr>
      <w:r>
        <w:rPr>
          <w:color w:val="auto"/>
          <w:sz w:val="21"/>
          <w:szCs w:val="21"/>
          <w:highlight w:val="none"/>
        </w:rPr>
        <w:t>十三、文明施工与环保要求</w:t>
      </w:r>
    </w:p>
    <w:p w14:paraId="7B9D4A9D">
      <w:pPr>
        <w:pStyle w:val="8"/>
        <w:spacing w:before="7"/>
        <w:rPr>
          <w:color w:val="auto"/>
          <w:sz w:val="21"/>
          <w:szCs w:val="21"/>
          <w:highlight w:val="none"/>
        </w:rPr>
      </w:pPr>
    </w:p>
    <w:p w14:paraId="41417E75">
      <w:pPr>
        <w:pStyle w:val="29"/>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承包人需制订施工现场的文明施工措施，保持良好的施工现场秩序。施工现场的物料堆放要摆放整齐，安全标志和宣传标志要清楚醒目，废料、废物要分类收集，安全通道要畅通。</w:t>
      </w:r>
    </w:p>
    <w:p w14:paraId="16FA7AEE">
      <w:pPr>
        <w:pStyle w:val="29"/>
        <w:numPr>
          <w:ilvl w:val="0"/>
          <w:numId w:val="22"/>
        </w:numPr>
        <w:tabs>
          <w:tab w:val="left" w:pos="869"/>
        </w:tabs>
        <w:spacing w:line="269" w:lineRule="exact"/>
        <w:ind w:left="868" w:hanging="317"/>
        <w:jc w:val="left"/>
        <w:rPr>
          <w:color w:val="auto"/>
          <w:szCs w:val="21"/>
          <w:highlight w:val="none"/>
        </w:rPr>
      </w:pPr>
      <w:r>
        <w:rPr>
          <w:color w:val="auto"/>
          <w:szCs w:val="21"/>
          <w:highlight w:val="none"/>
        </w:rPr>
        <w:t>承包人作业时应避免建筑材料抛洒、飞扬、流淌；应尽可能降低噪音、震动。</w:t>
      </w:r>
    </w:p>
    <w:p w14:paraId="4F872384">
      <w:pPr>
        <w:pStyle w:val="8"/>
        <w:spacing w:before="6"/>
        <w:rPr>
          <w:color w:val="auto"/>
          <w:sz w:val="21"/>
          <w:szCs w:val="21"/>
          <w:highlight w:val="none"/>
        </w:rPr>
      </w:pPr>
    </w:p>
    <w:p w14:paraId="5C373E75">
      <w:pPr>
        <w:pStyle w:val="29"/>
        <w:numPr>
          <w:ilvl w:val="0"/>
          <w:numId w:val="22"/>
        </w:numPr>
        <w:tabs>
          <w:tab w:val="left" w:pos="869"/>
        </w:tabs>
        <w:spacing w:before="1" w:line="417" w:lineRule="auto"/>
        <w:ind w:right="424" w:firstLine="420"/>
        <w:jc w:val="left"/>
        <w:rPr>
          <w:color w:val="auto"/>
          <w:szCs w:val="21"/>
          <w:highlight w:val="none"/>
        </w:rPr>
      </w:pPr>
      <w:r>
        <w:rPr>
          <w:color w:val="auto"/>
          <w:spacing w:val="-3"/>
          <w:szCs w:val="21"/>
          <w:highlight w:val="none"/>
        </w:rPr>
        <w:t>承包人应根据实际需要，在施工现场布置临时卫生设施（洗手间、卫生间等），施工作业不破坏</w:t>
      </w:r>
      <w:r>
        <w:rPr>
          <w:color w:val="auto"/>
          <w:spacing w:val="-4"/>
          <w:szCs w:val="21"/>
          <w:highlight w:val="none"/>
        </w:rPr>
        <w:t>环境卫生，不污染现场环境。</w:t>
      </w:r>
    </w:p>
    <w:p w14:paraId="18305FB9">
      <w:pPr>
        <w:pStyle w:val="29"/>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承包人在施工中应充分重视对环境的保护，保护绿色植被，保护古树。施工如需伤害古树，必须</w:t>
      </w:r>
      <w:r>
        <w:rPr>
          <w:color w:val="auto"/>
          <w:spacing w:val="-4"/>
          <w:szCs w:val="21"/>
          <w:highlight w:val="none"/>
        </w:rPr>
        <w:t>报告发包人委托的监理公司，在未得到指令前，禁止擅自伤害古树。</w:t>
      </w:r>
    </w:p>
    <w:p w14:paraId="0F7EE579">
      <w:pPr>
        <w:pStyle w:val="29"/>
        <w:numPr>
          <w:ilvl w:val="0"/>
          <w:numId w:val="22"/>
        </w:numPr>
        <w:tabs>
          <w:tab w:val="left" w:pos="869"/>
        </w:tabs>
        <w:spacing w:line="417" w:lineRule="auto"/>
        <w:ind w:right="426" w:firstLine="420"/>
        <w:rPr>
          <w:color w:val="auto"/>
          <w:szCs w:val="21"/>
          <w:highlight w:val="none"/>
        </w:rPr>
      </w:pPr>
      <w:r>
        <w:rPr>
          <w:color w:val="auto"/>
          <w:spacing w:val="-3"/>
          <w:szCs w:val="21"/>
          <w:highlight w:val="none"/>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5807651">
      <w:pPr>
        <w:pStyle w:val="29"/>
        <w:numPr>
          <w:ilvl w:val="0"/>
          <w:numId w:val="22"/>
        </w:numPr>
        <w:tabs>
          <w:tab w:val="left" w:pos="869"/>
        </w:tabs>
        <w:spacing w:line="269" w:lineRule="exact"/>
        <w:ind w:left="868" w:hanging="317"/>
        <w:jc w:val="left"/>
        <w:rPr>
          <w:color w:val="auto"/>
          <w:szCs w:val="21"/>
          <w:highlight w:val="none"/>
        </w:rPr>
      </w:pPr>
      <w:r>
        <w:rPr>
          <w:color w:val="auto"/>
          <w:szCs w:val="21"/>
          <w:highlight w:val="none"/>
        </w:rPr>
        <w:t>承包人在施工中应禁止向环境，排放工业污水、生活污水、废油或其他有害物质。</w:t>
      </w:r>
    </w:p>
    <w:p w14:paraId="5E06A0D2">
      <w:pPr>
        <w:pStyle w:val="8"/>
        <w:spacing w:before="5"/>
        <w:rPr>
          <w:color w:val="auto"/>
          <w:sz w:val="21"/>
          <w:szCs w:val="21"/>
          <w:highlight w:val="none"/>
        </w:rPr>
      </w:pPr>
    </w:p>
    <w:p w14:paraId="1CB820B1">
      <w:pPr>
        <w:pStyle w:val="29"/>
        <w:numPr>
          <w:ilvl w:val="0"/>
          <w:numId w:val="22"/>
        </w:numPr>
        <w:tabs>
          <w:tab w:val="left" w:pos="869"/>
        </w:tabs>
        <w:spacing w:before="1" w:line="417" w:lineRule="auto"/>
        <w:ind w:right="443" w:firstLine="420"/>
        <w:rPr>
          <w:color w:val="auto"/>
          <w:szCs w:val="21"/>
          <w:highlight w:val="none"/>
        </w:rPr>
      </w:pPr>
      <w:r>
        <w:rPr>
          <w:color w:val="auto"/>
          <w:spacing w:val="-3"/>
          <w:szCs w:val="21"/>
          <w:highlight w:val="none"/>
        </w:rPr>
        <w:t>承包人在施工中应防止水土流失，应及时对裸露的地基、边坡、开挖出来的沙/土以及砂、石、水泥等建筑材料予以保护，防止风刮扬尘，雨水冲刷，流入下水道、排洪沟。如因防护不及时而造成大</w:t>
      </w:r>
      <w:r>
        <w:rPr>
          <w:color w:val="auto"/>
          <w:szCs w:val="21"/>
          <w:highlight w:val="none"/>
        </w:rPr>
        <w:t>量水土流失、淤塞道路、沟道或污染环境的，承包人应承担清淤、清扫以及相应的赔偿责任。</w:t>
      </w:r>
    </w:p>
    <w:p w14:paraId="2CAC8E83">
      <w:pPr>
        <w:pStyle w:val="8"/>
        <w:spacing w:line="269" w:lineRule="exact"/>
        <w:ind w:left="552"/>
        <w:rPr>
          <w:color w:val="auto"/>
          <w:sz w:val="21"/>
          <w:szCs w:val="21"/>
          <w:highlight w:val="none"/>
        </w:rPr>
      </w:pPr>
      <w:r>
        <w:rPr>
          <w:color w:val="auto"/>
          <w:sz w:val="21"/>
          <w:szCs w:val="21"/>
          <w:highlight w:val="none"/>
        </w:rPr>
        <w:t>十四、工程风险管理与事故预防</w:t>
      </w:r>
    </w:p>
    <w:p w14:paraId="378DFF79">
      <w:pPr>
        <w:pStyle w:val="8"/>
        <w:spacing w:before="6"/>
        <w:rPr>
          <w:color w:val="auto"/>
          <w:sz w:val="21"/>
          <w:szCs w:val="21"/>
          <w:highlight w:val="none"/>
        </w:rPr>
      </w:pPr>
    </w:p>
    <w:p w14:paraId="2F196572">
      <w:pPr>
        <w:pStyle w:val="8"/>
        <w:ind w:left="552"/>
        <w:rPr>
          <w:color w:val="auto"/>
          <w:sz w:val="21"/>
          <w:szCs w:val="21"/>
          <w:highlight w:val="none"/>
        </w:rPr>
      </w:pPr>
      <w:r>
        <w:rPr>
          <w:color w:val="auto"/>
          <w:sz w:val="21"/>
          <w:szCs w:val="21"/>
          <w:highlight w:val="none"/>
        </w:rPr>
        <w:t>（一）基本要求</w:t>
      </w:r>
    </w:p>
    <w:p w14:paraId="23BFF6D7">
      <w:pPr>
        <w:pStyle w:val="8"/>
        <w:spacing w:before="7"/>
        <w:rPr>
          <w:color w:val="auto"/>
          <w:sz w:val="21"/>
          <w:szCs w:val="21"/>
          <w:highlight w:val="none"/>
        </w:rPr>
      </w:pPr>
    </w:p>
    <w:p w14:paraId="02BBF95F">
      <w:pPr>
        <w:pStyle w:val="29"/>
        <w:numPr>
          <w:ilvl w:val="0"/>
          <w:numId w:val="23"/>
        </w:numPr>
        <w:tabs>
          <w:tab w:val="left" w:pos="869"/>
        </w:tabs>
        <w:spacing w:line="417" w:lineRule="auto"/>
        <w:ind w:right="426" w:firstLine="420"/>
        <w:jc w:val="left"/>
        <w:rPr>
          <w:color w:val="auto"/>
          <w:szCs w:val="21"/>
          <w:highlight w:val="none"/>
        </w:rPr>
      </w:pPr>
      <w:r>
        <w:rPr>
          <w:color w:val="auto"/>
          <w:spacing w:val="-3"/>
          <w:szCs w:val="21"/>
          <w:highlight w:val="none"/>
        </w:rPr>
        <w:t>承包人应对施工过程进行全面、深入的危险源识别和风险分析。在施工安全组织设计中提供危险源及重要危险源清单、作业风险分析报告，该报告应包括（但不限于）如下信息：</w:t>
      </w:r>
    </w:p>
    <w:p w14:paraId="01E76551">
      <w:pPr>
        <w:pStyle w:val="29"/>
        <w:numPr>
          <w:ilvl w:val="1"/>
          <w:numId w:val="23"/>
        </w:numPr>
        <w:tabs>
          <w:tab w:val="left" w:pos="1250"/>
        </w:tabs>
        <w:spacing w:before="142"/>
        <w:jc w:val="left"/>
        <w:rPr>
          <w:color w:val="auto"/>
          <w:szCs w:val="21"/>
          <w:highlight w:val="none"/>
        </w:rPr>
      </w:pPr>
      <w:r>
        <w:rPr>
          <w:color w:val="auto"/>
          <w:szCs w:val="21"/>
          <w:highlight w:val="none"/>
        </w:rPr>
        <w:t>高风险作业和工种清单：作业名称、类别和数量、主要事故风险。</w:t>
      </w:r>
    </w:p>
    <w:p w14:paraId="2972CF9D">
      <w:pPr>
        <w:pStyle w:val="8"/>
        <w:spacing w:before="6"/>
        <w:rPr>
          <w:color w:val="auto"/>
          <w:sz w:val="21"/>
          <w:szCs w:val="21"/>
          <w:highlight w:val="none"/>
        </w:rPr>
      </w:pPr>
    </w:p>
    <w:p w14:paraId="45E79E55">
      <w:pPr>
        <w:pStyle w:val="29"/>
        <w:numPr>
          <w:ilvl w:val="1"/>
          <w:numId w:val="23"/>
        </w:numPr>
        <w:tabs>
          <w:tab w:val="left" w:pos="1250"/>
        </w:tabs>
        <w:spacing w:before="1"/>
        <w:jc w:val="left"/>
        <w:rPr>
          <w:color w:val="auto"/>
          <w:szCs w:val="21"/>
          <w:highlight w:val="none"/>
        </w:rPr>
      </w:pPr>
      <w:r>
        <w:rPr>
          <w:color w:val="auto"/>
          <w:szCs w:val="21"/>
          <w:highlight w:val="none"/>
        </w:rPr>
        <w:t>施工能源和机械的种类、数量和主要事故风险。</w:t>
      </w:r>
    </w:p>
    <w:p w14:paraId="69626E3C">
      <w:pPr>
        <w:pStyle w:val="8"/>
        <w:spacing w:before="6"/>
        <w:rPr>
          <w:color w:val="auto"/>
          <w:sz w:val="21"/>
          <w:szCs w:val="21"/>
          <w:highlight w:val="none"/>
        </w:rPr>
      </w:pPr>
    </w:p>
    <w:p w14:paraId="46934E9C">
      <w:pPr>
        <w:pStyle w:val="29"/>
        <w:numPr>
          <w:ilvl w:val="1"/>
          <w:numId w:val="23"/>
        </w:numPr>
        <w:tabs>
          <w:tab w:val="left" w:pos="1250"/>
        </w:tabs>
        <w:jc w:val="left"/>
        <w:rPr>
          <w:color w:val="auto"/>
          <w:szCs w:val="21"/>
          <w:highlight w:val="none"/>
        </w:rPr>
      </w:pPr>
      <w:r>
        <w:rPr>
          <w:color w:val="auto"/>
          <w:szCs w:val="21"/>
          <w:highlight w:val="none"/>
        </w:rPr>
        <w:t>施工作业条件的类型和主要事故风险。</w:t>
      </w:r>
    </w:p>
    <w:p w14:paraId="6B709C4B">
      <w:pPr>
        <w:pStyle w:val="8"/>
        <w:spacing w:before="7"/>
        <w:rPr>
          <w:color w:val="auto"/>
          <w:sz w:val="21"/>
          <w:szCs w:val="21"/>
          <w:highlight w:val="none"/>
        </w:rPr>
      </w:pPr>
    </w:p>
    <w:p w14:paraId="51D1C9B2">
      <w:pPr>
        <w:pStyle w:val="29"/>
        <w:numPr>
          <w:ilvl w:val="1"/>
          <w:numId w:val="23"/>
        </w:numPr>
        <w:tabs>
          <w:tab w:val="left" w:pos="1250"/>
        </w:tabs>
        <w:jc w:val="left"/>
        <w:rPr>
          <w:color w:val="auto"/>
          <w:szCs w:val="21"/>
          <w:highlight w:val="none"/>
        </w:rPr>
      </w:pPr>
      <w:r>
        <w:rPr>
          <w:color w:val="auto"/>
          <w:szCs w:val="21"/>
          <w:highlight w:val="none"/>
        </w:rPr>
        <w:t>主要工艺过程（或施工活动）的类别及其相关的事故风险。</w:t>
      </w:r>
    </w:p>
    <w:p w14:paraId="055CEC5F">
      <w:pPr>
        <w:pStyle w:val="8"/>
        <w:spacing w:before="7"/>
        <w:rPr>
          <w:color w:val="auto"/>
          <w:sz w:val="21"/>
          <w:szCs w:val="21"/>
          <w:highlight w:val="none"/>
        </w:rPr>
      </w:pPr>
    </w:p>
    <w:p w14:paraId="30BC824E">
      <w:pPr>
        <w:pStyle w:val="29"/>
        <w:numPr>
          <w:ilvl w:val="1"/>
          <w:numId w:val="23"/>
        </w:numPr>
        <w:tabs>
          <w:tab w:val="left" w:pos="1250"/>
        </w:tabs>
        <w:jc w:val="left"/>
        <w:rPr>
          <w:color w:val="auto"/>
          <w:szCs w:val="21"/>
          <w:highlight w:val="none"/>
        </w:rPr>
      </w:pPr>
      <w:r>
        <w:rPr>
          <w:color w:val="auto"/>
          <w:szCs w:val="21"/>
          <w:highlight w:val="none"/>
        </w:rPr>
        <w:t>主要火灾危险（可燃物、点火源）。</w:t>
      </w:r>
    </w:p>
    <w:p w14:paraId="3CBEF7BD">
      <w:pPr>
        <w:pStyle w:val="8"/>
        <w:spacing w:before="6"/>
        <w:rPr>
          <w:color w:val="auto"/>
          <w:sz w:val="21"/>
          <w:szCs w:val="21"/>
          <w:highlight w:val="none"/>
        </w:rPr>
      </w:pPr>
    </w:p>
    <w:p w14:paraId="47761425">
      <w:pPr>
        <w:pStyle w:val="29"/>
        <w:numPr>
          <w:ilvl w:val="1"/>
          <w:numId w:val="23"/>
        </w:numPr>
        <w:tabs>
          <w:tab w:val="left" w:pos="1250"/>
        </w:tabs>
        <w:spacing w:before="1"/>
        <w:jc w:val="left"/>
        <w:rPr>
          <w:color w:val="auto"/>
          <w:szCs w:val="21"/>
          <w:highlight w:val="none"/>
        </w:rPr>
      </w:pPr>
      <w:r>
        <w:rPr>
          <w:color w:val="auto"/>
          <w:szCs w:val="21"/>
          <w:highlight w:val="none"/>
        </w:rPr>
        <w:t>主要自然灾害（洪水、大风、雷暴、暴雨、地质灾害等）。</w:t>
      </w:r>
    </w:p>
    <w:p w14:paraId="77BE2C58">
      <w:pPr>
        <w:pStyle w:val="8"/>
        <w:spacing w:before="6"/>
        <w:rPr>
          <w:color w:val="auto"/>
          <w:sz w:val="21"/>
          <w:szCs w:val="21"/>
          <w:highlight w:val="none"/>
        </w:rPr>
      </w:pPr>
    </w:p>
    <w:p w14:paraId="66F9C668">
      <w:pPr>
        <w:pStyle w:val="29"/>
        <w:numPr>
          <w:ilvl w:val="1"/>
          <w:numId w:val="23"/>
        </w:numPr>
        <w:tabs>
          <w:tab w:val="left" w:pos="1250"/>
        </w:tabs>
        <w:jc w:val="left"/>
        <w:rPr>
          <w:color w:val="auto"/>
          <w:szCs w:val="21"/>
          <w:highlight w:val="none"/>
        </w:rPr>
      </w:pPr>
      <w:r>
        <w:rPr>
          <w:color w:val="auto"/>
          <w:szCs w:val="21"/>
          <w:highlight w:val="none"/>
        </w:rPr>
        <w:t>主要环境保护事件（有害垃圾、机械的跑冒滴漏、原材料流失、水土流失等）。</w:t>
      </w:r>
    </w:p>
    <w:p w14:paraId="25BF992D">
      <w:pPr>
        <w:pStyle w:val="8"/>
        <w:spacing w:before="7"/>
        <w:rPr>
          <w:color w:val="auto"/>
          <w:sz w:val="21"/>
          <w:szCs w:val="21"/>
          <w:highlight w:val="none"/>
        </w:rPr>
      </w:pPr>
    </w:p>
    <w:p w14:paraId="39EE3648">
      <w:pPr>
        <w:pStyle w:val="29"/>
        <w:numPr>
          <w:ilvl w:val="1"/>
          <w:numId w:val="23"/>
        </w:numPr>
        <w:tabs>
          <w:tab w:val="left" w:pos="1250"/>
        </w:tabs>
        <w:jc w:val="left"/>
        <w:rPr>
          <w:color w:val="auto"/>
          <w:szCs w:val="21"/>
          <w:highlight w:val="none"/>
        </w:rPr>
      </w:pPr>
      <w:r>
        <w:rPr>
          <w:color w:val="auto"/>
          <w:szCs w:val="21"/>
          <w:highlight w:val="none"/>
        </w:rPr>
        <w:t>其他。</w:t>
      </w:r>
    </w:p>
    <w:p w14:paraId="0B8F8D1D">
      <w:pPr>
        <w:pStyle w:val="8"/>
        <w:spacing w:before="7"/>
        <w:rPr>
          <w:color w:val="auto"/>
          <w:sz w:val="21"/>
          <w:szCs w:val="21"/>
          <w:highlight w:val="none"/>
        </w:rPr>
      </w:pPr>
    </w:p>
    <w:p w14:paraId="2B3F8D7E">
      <w:pPr>
        <w:pStyle w:val="29"/>
        <w:numPr>
          <w:ilvl w:val="0"/>
          <w:numId w:val="23"/>
        </w:numPr>
        <w:tabs>
          <w:tab w:val="left" w:pos="1039"/>
        </w:tabs>
        <w:ind w:left="1038"/>
        <w:jc w:val="left"/>
        <w:rPr>
          <w:color w:val="auto"/>
          <w:szCs w:val="21"/>
          <w:highlight w:val="none"/>
        </w:rPr>
      </w:pPr>
      <w:r>
        <w:rPr>
          <w:color w:val="auto"/>
          <w:szCs w:val="21"/>
          <w:highlight w:val="none"/>
        </w:rPr>
        <w:t>承包人应针对识别出的危险源制定有针对性的事故预防措施并确保在施工中得到有效落实。</w:t>
      </w:r>
    </w:p>
    <w:p w14:paraId="4D790965">
      <w:pPr>
        <w:pStyle w:val="8"/>
        <w:spacing w:before="6"/>
        <w:rPr>
          <w:color w:val="auto"/>
          <w:sz w:val="21"/>
          <w:szCs w:val="21"/>
          <w:highlight w:val="none"/>
        </w:rPr>
      </w:pPr>
    </w:p>
    <w:p w14:paraId="53BE75D4">
      <w:pPr>
        <w:pStyle w:val="29"/>
        <w:numPr>
          <w:ilvl w:val="0"/>
          <w:numId w:val="23"/>
        </w:numPr>
        <w:tabs>
          <w:tab w:val="left" w:pos="1039"/>
        </w:tabs>
        <w:spacing w:before="1" w:line="417" w:lineRule="auto"/>
        <w:ind w:left="303" w:right="253" w:firstLine="420"/>
        <w:jc w:val="left"/>
        <w:rPr>
          <w:color w:val="auto"/>
          <w:szCs w:val="21"/>
          <w:highlight w:val="none"/>
        </w:rPr>
      </w:pPr>
      <w:r>
        <w:rPr>
          <w:color w:val="auto"/>
          <w:spacing w:val="-2"/>
          <w:szCs w:val="21"/>
          <w:highlight w:val="none"/>
        </w:rPr>
        <w:t>承包人应建立日常施工活动的动态作业风险分析和安全交底制度。该制度应明确规定风险分析的方法、责任和交底的内容、时间及记录。</w:t>
      </w:r>
    </w:p>
    <w:p w14:paraId="61130F4C">
      <w:pPr>
        <w:pStyle w:val="8"/>
        <w:spacing w:line="269" w:lineRule="exact"/>
        <w:ind w:left="723"/>
        <w:rPr>
          <w:color w:val="auto"/>
          <w:sz w:val="21"/>
          <w:szCs w:val="21"/>
          <w:highlight w:val="none"/>
        </w:rPr>
      </w:pPr>
      <w:r>
        <w:rPr>
          <w:color w:val="auto"/>
          <w:sz w:val="21"/>
          <w:szCs w:val="21"/>
          <w:highlight w:val="none"/>
        </w:rPr>
        <w:t>（二）现场作业基本安全条件</w:t>
      </w:r>
    </w:p>
    <w:p w14:paraId="7035BF9A">
      <w:pPr>
        <w:pStyle w:val="8"/>
        <w:spacing w:before="6"/>
        <w:rPr>
          <w:color w:val="auto"/>
          <w:sz w:val="21"/>
          <w:szCs w:val="21"/>
          <w:highlight w:val="none"/>
        </w:rPr>
      </w:pPr>
    </w:p>
    <w:p w14:paraId="69D163FC">
      <w:pPr>
        <w:pStyle w:val="8"/>
        <w:spacing w:line="417" w:lineRule="auto"/>
        <w:ind w:left="303" w:right="273" w:firstLine="420"/>
        <w:rPr>
          <w:color w:val="auto"/>
          <w:sz w:val="21"/>
          <w:szCs w:val="21"/>
          <w:highlight w:val="none"/>
        </w:rPr>
      </w:pPr>
      <w:r>
        <w:rPr>
          <w:rFonts w:ascii="宋体" w:hAnsi="宋体" w:cs="宋体"/>
          <w:color w:val="auto"/>
          <w:spacing w:val="-3"/>
          <w:sz w:val="21"/>
          <w:szCs w:val="21"/>
          <w:highlight w:val="none"/>
          <w:lang w:val="zh-CN" w:bidi="zh-CN"/>
        </w:rPr>
        <w:t>承包人应规定现场作业的基本安全条件，包括照明条件、通风条件、作业平台和通道条件、物料堆放条件、供电供水条件、吸烟点、休息点等，并对临边现场、道路上作业现场、立体交叉作业现场、地</w:t>
      </w:r>
      <w:r>
        <w:rPr>
          <w:color w:val="auto"/>
          <w:sz w:val="21"/>
          <w:szCs w:val="21"/>
          <w:highlight w:val="none"/>
        </w:rPr>
        <w:t>面坑洞和沟道、夜间作业现场等的基本安全条件做出规定。</w:t>
      </w:r>
    </w:p>
    <w:p w14:paraId="209A1C47">
      <w:pPr>
        <w:pStyle w:val="8"/>
        <w:spacing w:line="269" w:lineRule="exact"/>
        <w:ind w:left="723"/>
        <w:rPr>
          <w:color w:val="auto"/>
          <w:sz w:val="21"/>
          <w:szCs w:val="21"/>
          <w:highlight w:val="none"/>
        </w:rPr>
      </w:pPr>
      <w:r>
        <w:rPr>
          <w:color w:val="auto"/>
          <w:sz w:val="21"/>
          <w:szCs w:val="21"/>
          <w:highlight w:val="none"/>
        </w:rPr>
        <w:t>十五、事故报告与应急救援</w:t>
      </w:r>
    </w:p>
    <w:p w14:paraId="39FE9404">
      <w:pPr>
        <w:pStyle w:val="8"/>
        <w:spacing w:before="7"/>
        <w:rPr>
          <w:color w:val="auto"/>
          <w:sz w:val="21"/>
          <w:szCs w:val="21"/>
          <w:highlight w:val="none"/>
        </w:rPr>
      </w:pPr>
    </w:p>
    <w:p w14:paraId="00647C62">
      <w:pPr>
        <w:pStyle w:val="29"/>
        <w:numPr>
          <w:ilvl w:val="0"/>
          <w:numId w:val="24"/>
        </w:numPr>
        <w:tabs>
          <w:tab w:val="left" w:pos="1039"/>
        </w:tabs>
        <w:spacing w:line="417" w:lineRule="auto"/>
        <w:ind w:right="256" w:firstLine="420"/>
        <w:jc w:val="left"/>
        <w:rPr>
          <w:color w:val="auto"/>
          <w:szCs w:val="21"/>
          <w:highlight w:val="none"/>
        </w:rPr>
      </w:pPr>
      <w:r>
        <w:rPr>
          <w:color w:val="auto"/>
          <w:szCs w:val="21"/>
          <w:highlight w:val="none"/>
        </w:rPr>
        <w:t>承包人应制定对于未遂事故及以上级别的安全事件和事故，定期报送安全月度快报、季报、年报</w:t>
      </w:r>
      <w:r>
        <w:rPr>
          <w:color w:val="auto"/>
          <w:spacing w:val="-3"/>
          <w:szCs w:val="21"/>
          <w:highlight w:val="none"/>
        </w:rPr>
        <w:t>和各种专项事故报告等。</w:t>
      </w:r>
    </w:p>
    <w:p w14:paraId="51234C53">
      <w:pPr>
        <w:pStyle w:val="29"/>
        <w:numPr>
          <w:ilvl w:val="0"/>
          <w:numId w:val="24"/>
        </w:numPr>
        <w:tabs>
          <w:tab w:val="left" w:pos="1039"/>
        </w:tabs>
        <w:spacing w:line="417" w:lineRule="auto"/>
        <w:ind w:right="149" w:firstLine="420"/>
        <w:jc w:val="left"/>
        <w:rPr>
          <w:color w:val="auto"/>
          <w:szCs w:val="21"/>
          <w:highlight w:val="none"/>
        </w:rPr>
      </w:pPr>
      <w:r>
        <w:rPr>
          <w:color w:val="auto"/>
          <w:spacing w:val="-8"/>
          <w:szCs w:val="21"/>
          <w:highlight w:val="none"/>
        </w:rPr>
        <w:t>承包人应建立安全事故统计记录、未遂事故统计记录、违章统计记录，并根据统计情况进行分析，并就分析结果制定相应的预防措施。</w:t>
      </w:r>
    </w:p>
    <w:p w14:paraId="101AFF05">
      <w:pPr>
        <w:pStyle w:val="29"/>
        <w:numPr>
          <w:ilvl w:val="0"/>
          <w:numId w:val="24"/>
        </w:numPr>
        <w:tabs>
          <w:tab w:val="left" w:pos="1039"/>
        </w:tabs>
        <w:spacing w:line="417" w:lineRule="auto"/>
        <w:ind w:right="149" w:firstLine="420"/>
        <w:jc w:val="left"/>
        <w:rPr>
          <w:color w:val="auto"/>
          <w:szCs w:val="21"/>
          <w:highlight w:val="none"/>
        </w:rPr>
      </w:pPr>
      <w:r>
        <w:rPr>
          <w:color w:val="auto"/>
          <w:spacing w:val="-8"/>
          <w:szCs w:val="21"/>
          <w:highlight w:val="none"/>
        </w:rPr>
        <w:t>承包人应建立事故应急救援机制，明确事故处置的基本原则，即现场发生事故时，首先抢救生命，向救援组织报警，并采取措施限制事故扩大。</w:t>
      </w:r>
    </w:p>
    <w:p w14:paraId="207FD618">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承包人应建立相应的应急响应组织，以便能迅速处理突发意外。</w:t>
      </w:r>
    </w:p>
    <w:p w14:paraId="1EC70F4C">
      <w:pPr>
        <w:pStyle w:val="8"/>
        <w:spacing w:before="6"/>
        <w:rPr>
          <w:color w:val="auto"/>
          <w:sz w:val="21"/>
          <w:szCs w:val="21"/>
          <w:highlight w:val="none"/>
        </w:rPr>
      </w:pPr>
    </w:p>
    <w:p w14:paraId="6E90D209">
      <w:pPr>
        <w:pStyle w:val="29"/>
        <w:numPr>
          <w:ilvl w:val="0"/>
          <w:numId w:val="24"/>
        </w:numPr>
        <w:tabs>
          <w:tab w:val="left" w:pos="1039"/>
        </w:tabs>
        <w:spacing w:line="417" w:lineRule="auto"/>
        <w:ind w:right="167" w:firstLine="420"/>
        <w:jc w:val="left"/>
        <w:rPr>
          <w:color w:val="auto"/>
          <w:szCs w:val="21"/>
          <w:highlight w:val="none"/>
        </w:rPr>
      </w:pPr>
      <w:r>
        <w:rPr>
          <w:color w:val="auto"/>
          <w:szCs w:val="21"/>
          <w:highlight w:val="none"/>
        </w:rPr>
        <w:t>承包人应建立专项应急响应预案，包括重大人身伤亡事故的救护预案、火灾响应预案、“四防”预案（防风、防冻、防雷、防暴雨）、重大疫病防护预案、环境污染防护预案、地质灾害防护预案等。</w:t>
      </w:r>
    </w:p>
    <w:p w14:paraId="44430B49">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承包人应对应急预案进行适当演练，保证应急预案的可操作性。</w:t>
      </w:r>
    </w:p>
    <w:p w14:paraId="0272C895">
      <w:pPr>
        <w:pStyle w:val="8"/>
        <w:spacing w:before="7"/>
        <w:rPr>
          <w:color w:val="auto"/>
          <w:sz w:val="21"/>
          <w:szCs w:val="21"/>
          <w:highlight w:val="none"/>
        </w:rPr>
      </w:pPr>
    </w:p>
    <w:p w14:paraId="00319D2A">
      <w:pPr>
        <w:pStyle w:val="29"/>
        <w:numPr>
          <w:ilvl w:val="0"/>
          <w:numId w:val="24"/>
        </w:numPr>
        <w:tabs>
          <w:tab w:val="left" w:pos="1039"/>
        </w:tabs>
        <w:ind w:left="1038"/>
        <w:jc w:val="left"/>
        <w:rPr>
          <w:color w:val="auto"/>
          <w:szCs w:val="21"/>
          <w:highlight w:val="none"/>
        </w:rPr>
      </w:pPr>
      <w:r>
        <w:rPr>
          <w:color w:val="auto"/>
          <w:szCs w:val="21"/>
          <w:highlight w:val="none"/>
        </w:rPr>
        <w:t>在工地的其他施工单位发生重大事故时，承包人应无条件立即配合、支持事故抢险。</w:t>
      </w:r>
    </w:p>
    <w:p w14:paraId="47D1B1C3">
      <w:pPr>
        <w:pStyle w:val="8"/>
        <w:spacing w:before="6"/>
        <w:rPr>
          <w:color w:val="auto"/>
          <w:sz w:val="21"/>
          <w:szCs w:val="21"/>
          <w:highlight w:val="none"/>
        </w:rPr>
      </w:pPr>
    </w:p>
    <w:p w14:paraId="15DB0562">
      <w:pPr>
        <w:pStyle w:val="29"/>
        <w:numPr>
          <w:ilvl w:val="0"/>
          <w:numId w:val="24"/>
        </w:numPr>
        <w:tabs>
          <w:tab w:val="left" w:pos="1039"/>
        </w:tabs>
        <w:spacing w:before="1" w:line="417" w:lineRule="auto"/>
        <w:ind w:right="256" w:firstLine="420"/>
        <w:jc w:val="left"/>
        <w:rPr>
          <w:color w:val="auto"/>
          <w:szCs w:val="21"/>
          <w:highlight w:val="none"/>
        </w:rPr>
      </w:pPr>
      <w:r>
        <w:rPr>
          <w:color w:val="auto"/>
          <w:szCs w:val="21"/>
          <w:highlight w:val="none"/>
        </w:rPr>
        <w:t>承包人必须为事故处置支付各项费用，包括受伤者的抚恤、补偿等费用，并按合同要求赔偿对发</w:t>
      </w:r>
      <w:r>
        <w:rPr>
          <w:color w:val="auto"/>
          <w:spacing w:val="-4"/>
          <w:szCs w:val="21"/>
          <w:highlight w:val="none"/>
        </w:rPr>
        <w:t>包人造成的损失。</w:t>
      </w:r>
    </w:p>
    <w:p w14:paraId="63207AA3">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由于发包人原因而造成的事故，发包人应负责按事故的具体损失情况给予承包人经济赔偿。</w:t>
      </w:r>
    </w:p>
    <w:p w14:paraId="437CAE29">
      <w:pPr>
        <w:pStyle w:val="29"/>
        <w:numPr>
          <w:ilvl w:val="0"/>
          <w:numId w:val="24"/>
        </w:numPr>
        <w:tabs>
          <w:tab w:val="left" w:pos="974"/>
        </w:tabs>
        <w:spacing w:before="142" w:line="417" w:lineRule="auto"/>
        <w:ind w:left="132" w:right="443" w:firstLine="420"/>
        <w:jc w:val="left"/>
        <w:rPr>
          <w:color w:val="auto"/>
          <w:szCs w:val="21"/>
          <w:highlight w:val="none"/>
        </w:rPr>
      </w:pPr>
      <w:r>
        <w:rPr>
          <w:color w:val="auto"/>
          <w:szCs w:val="21"/>
          <w:highlight w:val="none"/>
        </w:rPr>
        <w:t>涉及承包人员工的伤害事故，承包人除要报告发包人委托的监理公司外，还应负责按照国家、行业和本单位上级公司的要求，上报事故。</w:t>
      </w:r>
    </w:p>
    <w:p w14:paraId="1224BFCC">
      <w:pPr>
        <w:pStyle w:val="8"/>
        <w:spacing w:line="269" w:lineRule="exact"/>
        <w:ind w:left="552"/>
        <w:rPr>
          <w:color w:val="auto"/>
          <w:sz w:val="21"/>
          <w:szCs w:val="21"/>
          <w:highlight w:val="none"/>
        </w:rPr>
      </w:pPr>
      <w:r>
        <w:rPr>
          <w:color w:val="auto"/>
          <w:sz w:val="21"/>
          <w:szCs w:val="21"/>
          <w:highlight w:val="none"/>
        </w:rPr>
        <w:t>十六、安全业绩考核</w:t>
      </w:r>
    </w:p>
    <w:p w14:paraId="16CAD689">
      <w:pPr>
        <w:pStyle w:val="8"/>
        <w:spacing w:before="6"/>
        <w:rPr>
          <w:color w:val="auto"/>
          <w:sz w:val="21"/>
          <w:szCs w:val="21"/>
          <w:highlight w:val="none"/>
        </w:rPr>
      </w:pPr>
    </w:p>
    <w:p w14:paraId="69F67222">
      <w:pPr>
        <w:pStyle w:val="8"/>
        <w:spacing w:before="1" w:line="417" w:lineRule="auto"/>
        <w:ind w:left="132" w:right="443" w:firstLine="420"/>
        <w:rPr>
          <w:color w:val="auto"/>
          <w:sz w:val="21"/>
          <w:szCs w:val="21"/>
          <w:highlight w:val="none"/>
        </w:rPr>
      </w:pPr>
      <w:r>
        <w:rPr>
          <w:rFonts w:ascii="宋体" w:hAnsi="宋体" w:cs="宋体"/>
          <w:color w:val="auto"/>
          <w:sz w:val="21"/>
          <w:szCs w:val="21"/>
          <w:highlight w:val="none"/>
          <w:lang w:val="zh-CN" w:bidi="zh-CN"/>
        </w:rPr>
        <mc:AlternateContent>
          <mc:Choice Requires="wps">
            <w:drawing>
              <wp:anchor distT="0" distB="0" distL="114300" distR="114300" simplePos="0" relativeHeight="251659264" behindDoc="0" locked="0" layoutInCell="1" allowOverlap="1">
                <wp:simplePos x="0" y="0"/>
                <wp:positionH relativeFrom="page">
                  <wp:posOffset>1495425</wp:posOffset>
                </wp:positionH>
                <wp:positionV relativeFrom="paragraph">
                  <wp:posOffset>531495</wp:posOffset>
                </wp:positionV>
                <wp:extent cx="4466590" cy="1294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6590" cy="1294765"/>
                        </a:xfrm>
                        <a:prstGeom prst="rect">
                          <a:avLst/>
                        </a:prstGeom>
                        <a:noFill/>
                        <a:ln>
                          <a:noFill/>
                        </a:ln>
                      </wps:spPr>
                      <wps:txbx>
                        <w:txbxContent>
                          <w:p w14:paraId="04043849">
                            <w:pPr>
                              <w:pStyle w:val="8"/>
                            </w:pPr>
                          </w:p>
                        </w:txbxContent>
                      </wps:txbx>
                      <wps:bodyPr lIns="0" tIns="0" rIns="0" bIns="0" upright="1"/>
                    </wps:wsp>
                  </a:graphicData>
                </a:graphic>
              </wp:anchor>
            </w:drawing>
          </mc:Choice>
          <mc:Fallback>
            <w:pict>
              <v:shape id="_x0000_s1026" o:spid="_x0000_s1026" o:spt="202" type="#_x0000_t202" style="position:absolute;left:0pt;margin-left:117.75pt;margin-top:41.85pt;height:101.95pt;width:351.7pt;mso-position-horizontal-relative:page;z-index:251659264;mso-width-relative:page;mso-height-relative:page;" filled="f" stroked="f" coordsize="21600,21600" o:gfxdata="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d4baAAAACgEAAA8AAAAAAAAAAQAgAAAAIgAAAGRycy9kb3ducmV2LnhtbFBL&#10;AQIUABQAAAAIAIdO4kDLGJxYuwEAAHMDAAAOAAAAAAAAAAEAIAAAACkBAABkcnMvZTJvRG9jLnht&#10;bFBLBQYAAAAABgAGAFkBAABWBQAAAAA=&#10;">
                <v:fill on="f" focussize="0,0"/>
                <v:stroke on="f"/>
                <v:imagedata o:title=""/>
                <o:lock v:ext="edit" aspectratio="f"/>
                <v:textbox inset="0mm,0mm,0mm,0mm">
                  <w:txbxContent>
                    <w:p w14:paraId="04043849">
                      <w:pPr>
                        <w:pStyle w:val="8"/>
                      </w:pPr>
                    </w:p>
                  </w:txbxContent>
                </v:textbox>
              </v:shape>
            </w:pict>
          </mc:Fallback>
        </mc:AlternateContent>
      </w:r>
      <w:r>
        <w:rPr>
          <w:rFonts w:ascii="宋体" w:hAnsi="宋体" w:cs="宋体"/>
          <w:color w:val="auto"/>
          <w:sz w:val="21"/>
          <w:szCs w:val="21"/>
          <w:highlight w:val="none"/>
          <w:lang w:val="zh-CN" w:bidi="zh-CN"/>
        </w:rPr>
        <w:t>为了落实安全管理的责任，承包人在施工过程中发生安全事故时，承包人除应按国家有关规定承担</w:t>
      </w:r>
      <w:r>
        <w:rPr>
          <w:color w:val="auto"/>
          <w:sz w:val="21"/>
          <w:szCs w:val="21"/>
          <w:highlight w:val="none"/>
        </w:rPr>
        <w:t>责任和处罚外，发包人还将按照以下标准进行考核：</w:t>
      </w:r>
    </w:p>
    <w:tbl>
      <w:tblPr>
        <w:tblStyle w:val="1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83"/>
        <w:gridCol w:w="3816"/>
        <w:gridCol w:w="2226"/>
      </w:tblGrid>
      <w:tr w14:paraId="3D35C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83" w:type="dxa"/>
            <w:noWrap w:val="0"/>
            <w:vAlign w:val="top"/>
          </w:tcPr>
          <w:p w14:paraId="157132DD">
            <w:pPr>
              <w:pStyle w:val="28"/>
              <w:spacing w:before="99"/>
              <w:ind w:left="526"/>
              <w:rPr>
                <w:color w:val="auto"/>
                <w:szCs w:val="21"/>
                <w:highlight w:val="none"/>
              </w:rPr>
            </w:pPr>
            <w:r>
              <w:rPr>
                <w:color w:val="auto"/>
                <w:szCs w:val="21"/>
                <w:highlight w:val="none"/>
              </w:rPr>
              <w:t>事件类型</w:t>
            </w:r>
          </w:p>
        </w:tc>
        <w:tc>
          <w:tcPr>
            <w:tcW w:w="3816" w:type="dxa"/>
            <w:noWrap w:val="0"/>
            <w:vAlign w:val="top"/>
          </w:tcPr>
          <w:p w14:paraId="44E70EC3">
            <w:pPr>
              <w:pStyle w:val="28"/>
              <w:spacing w:before="99"/>
              <w:ind w:left="526"/>
              <w:rPr>
                <w:color w:val="auto"/>
                <w:szCs w:val="21"/>
                <w:highlight w:val="none"/>
              </w:rPr>
            </w:pPr>
            <w:r>
              <w:rPr>
                <w:color w:val="auto"/>
                <w:szCs w:val="21"/>
                <w:highlight w:val="none"/>
              </w:rPr>
              <w:t>违约金额</w:t>
            </w:r>
          </w:p>
        </w:tc>
        <w:tc>
          <w:tcPr>
            <w:tcW w:w="2226" w:type="dxa"/>
            <w:noWrap w:val="0"/>
            <w:vAlign w:val="top"/>
          </w:tcPr>
          <w:p w14:paraId="76760426">
            <w:pPr>
              <w:pStyle w:val="28"/>
              <w:spacing w:before="99"/>
              <w:ind w:left="526"/>
              <w:rPr>
                <w:color w:val="auto"/>
                <w:szCs w:val="21"/>
                <w:highlight w:val="none"/>
              </w:rPr>
            </w:pPr>
          </w:p>
        </w:tc>
      </w:tr>
      <w:tr w14:paraId="35C1C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7A255F86">
            <w:pPr>
              <w:pStyle w:val="28"/>
              <w:spacing w:before="98"/>
              <w:ind w:left="526"/>
              <w:rPr>
                <w:color w:val="auto"/>
                <w:szCs w:val="21"/>
                <w:highlight w:val="none"/>
              </w:rPr>
            </w:pPr>
            <w:r>
              <w:rPr>
                <w:color w:val="auto"/>
                <w:szCs w:val="21"/>
                <w:highlight w:val="none"/>
              </w:rPr>
              <w:t>较大事故</w:t>
            </w:r>
          </w:p>
        </w:tc>
        <w:tc>
          <w:tcPr>
            <w:tcW w:w="3816" w:type="dxa"/>
            <w:noWrap w:val="0"/>
            <w:vAlign w:val="top"/>
          </w:tcPr>
          <w:p w14:paraId="6109EE8F">
            <w:pPr>
              <w:pStyle w:val="28"/>
              <w:spacing w:before="98"/>
              <w:ind w:left="430"/>
              <w:rPr>
                <w:color w:val="auto"/>
                <w:szCs w:val="21"/>
                <w:highlight w:val="none"/>
              </w:rPr>
            </w:pPr>
            <w:r>
              <w:rPr>
                <w:color w:val="auto"/>
                <w:szCs w:val="21"/>
                <w:highlight w:val="none"/>
              </w:rPr>
              <w:t>签约合同价的 0.5‰</w:t>
            </w:r>
          </w:p>
        </w:tc>
        <w:tc>
          <w:tcPr>
            <w:tcW w:w="2226" w:type="dxa"/>
            <w:noWrap w:val="0"/>
            <w:vAlign w:val="top"/>
          </w:tcPr>
          <w:p w14:paraId="5A3202A4">
            <w:pPr>
              <w:pStyle w:val="28"/>
              <w:spacing w:before="98"/>
              <w:ind w:left="430"/>
              <w:rPr>
                <w:color w:val="auto"/>
                <w:szCs w:val="21"/>
                <w:highlight w:val="none"/>
              </w:rPr>
            </w:pPr>
          </w:p>
        </w:tc>
      </w:tr>
      <w:tr w14:paraId="5D4D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5A240166">
            <w:pPr>
              <w:pStyle w:val="28"/>
              <w:spacing w:before="100"/>
              <w:ind w:left="526"/>
              <w:rPr>
                <w:color w:val="auto"/>
                <w:szCs w:val="21"/>
                <w:highlight w:val="none"/>
              </w:rPr>
            </w:pPr>
            <w:r>
              <w:rPr>
                <w:color w:val="auto"/>
                <w:szCs w:val="21"/>
                <w:highlight w:val="none"/>
              </w:rPr>
              <w:t>重大事故</w:t>
            </w:r>
          </w:p>
        </w:tc>
        <w:tc>
          <w:tcPr>
            <w:tcW w:w="3816" w:type="dxa"/>
            <w:noWrap w:val="0"/>
            <w:vAlign w:val="top"/>
          </w:tcPr>
          <w:p w14:paraId="77D623B4">
            <w:pPr>
              <w:pStyle w:val="28"/>
              <w:spacing w:before="100"/>
              <w:ind w:left="430"/>
              <w:rPr>
                <w:color w:val="auto"/>
                <w:szCs w:val="21"/>
                <w:highlight w:val="none"/>
              </w:rPr>
            </w:pPr>
            <w:r>
              <w:rPr>
                <w:color w:val="auto"/>
                <w:szCs w:val="21"/>
                <w:highlight w:val="none"/>
              </w:rPr>
              <w:t>签约合同价的 2‰</w:t>
            </w:r>
          </w:p>
        </w:tc>
        <w:tc>
          <w:tcPr>
            <w:tcW w:w="2226" w:type="dxa"/>
            <w:noWrap w:val="0"/>
            <w:vAlign w:val="top"/>
          </w:tcPr>
          <w:p w14:paraId="3585BA99">
            <w:pPr>
              <w:pStyle w:val="28"/>
              <w:spacing w:before="100"/>
              <w:ind w:left="430"/>
              <w:rPr>
                <w:color w:val="auto"/>
                <w:szCs w:val="21"/>
                <w:highlight w:val="none"/>
              </w:rPr>
            </w:pPr>
          </w:p>
        </w:tc>
      </w:tr>
      <w:tr w14:paraId="5DA88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3283" w:type="dxa"/>
            <w:noWrap w:val="0"/>
            <w:vAlign w:val="top"/>
          </w:tcPr>
          <w:p w14:paraId="24B97D7D">
            <w:pPr>
              <w:pStyle w:val="28"/>
              <w:spacing w:before="99"/>
              <w:ind w:left="526"/>
              <w:rPr>
                <w:color w:val="auto"/>
                <w:szCs w:val="21"/>
                <w:highlight w:val="none"/>
              </w:rPr>
            </w:pPr>
            <w:r>
              <w:rPr>
                <w:color w:val="auto"/>
                <w:szCs w:val="21"/>
                <w:highlight w:val="none"/>
              </w:rPr>
              <w:t>特别重大事故</w:t>
            </w:r>
          </w:p>
        </w:tc>
        <w:tc>
          <w:tcPr>
            <w:tcW w:w="3816" w:type="dxa"/>
            <w:noWrap w:val="0"/>
            <w:vAlign w:val="top"/>
          </w:tcPr>
          <w:p w14:paraId="378D748A">
            <w:pPr>
              <w:pStyle w:val="28"/>
              <w:spacing w:before="99"/>
              <w:ind w:left="430"/>
              <w:rPr>
                <w:color w:val="auto"/>
                <w:szCs w:val="21"/>
                <w:highlight w:val="none"/>
              </w:rPr>
            </w:pPr>
            <w:r>
              <w:rPr>
                <w:color w:val="auto"/>
                <w:szCs w:val="21"/>
                <w:highlight w:val="none"/>
              </w:rPr>
              <w:t>签约合同价的 4‰</w:t>
            </w:r>
          </w:p>
        </w:tc>
        <w:tc>
          <w:tcPr>
            <w:tcW w:w="2226" w:type="dxa"/>
            <w:noWrap w:val="0"/>
            <w:vAlign w:val="top"/>
          </w:tcPr>
          <w:p w14:paraId="072DD84E">
            <w:pPr>
              <w:pStyle w:val="28"/>
              <w:spacing w:before="99"/>
              <w:ind w:left="430"/>
              <w:rPr>
                <w:color w:val="auto"/>
                <w:szCs w:val="21"/>
                <w:highlight w:val="none"/>
              </w:rPr>
            </w:pPr>
          </w:p>
        </w:tc>
      </w:tr>
    </w:tbl>
    <w:p w14:paraId="7E4623AF">
      <w:pPr>
        <w:rPr>
          <w:color w:val="auto"/>
          <w:szCs w:val="21"/>
          <w:highlight w:val="none"/>
        </w:rPr>
      </w:pPr>
    </w:p>
    <w:p w14:paraId="4D4457AE">
      <w:pPr>
        <w:pStyle w:val="29"/>
        <w:numPr>
          <w:ilvl w:val="0"/>
          <w:numId w:val="25"/>
        </w:numPr>
        <w:tabs>
          <w:tab w:val="left" w:pos="1080"/>
        </w:tabs>
        <w:spacing w:before="176"/>
        <w:ind w:hanging="528"/>
        <w:jc w:val="left"/>
        <w:rPr>
          <w:color w:val="auto"/>
          <w:szCs w:val="21"/>
          <w:highlight w:val="none"/>
        </w:rPr>
      </w:pPr>
      <w:r>
        <w:rPr>
          <w:color w:val="auto"/>
          <w:spacing w:val="-10"/>
          <w:szCs w:val="21"/>
          <w:highlight w:val="none"/>
        </w:rPr>
        <w:t xml:space="preserve">较大事故，是指造成 </w:t>
      </w:r>
      <w:r>
        <w:rPr>
          <w:color w:val="auto"/>
          <w:szCs w:val="21"/>
          <w:highlight w:val="none"/>
        </w:rPr>
        <w:t>3</w:t>
      </w:r>
      <w:r>
        <w:rPr>
          <w:color w:val="auto"/>
          <w:spacing w:val="-23"/>
          <w:szCs w:val="21"/>
          <w:highlight w:val="none"/>
        </w:rPr>
        <w:t xml:space="preserve"> 人以上 </w:t>
      </w:r>
      <w:r>
        <w:rPr>
          <w:color w:val="auto"/>
          <w:szCs w:val="21"/>
          <w:highlight w:val="none"/>
        </w:rPr>
        <w:t>10</w:t>
      </w:r>
      <w:r>
        <w:rPr>
          <w:color w:val="auto"/>
          <w:spacing w:val="-14"/>
          <w:szCs w:val="21"/>
          <w:highlight w:val="none"/>
        </w:rPr>
        <w:t xml:space="preserve"> 人以下死亡，或者 </w:t>
      </w:r>
      <w:r>
        <w:rPr>
          <w:color w:val="auto"/>
          <w:szCs w:val="21"/>
          <w:highlight w:val="none"/>
        </w:rPr>
        <w:t>10</w:t>
      </w:r>
      <w:r>
        <w:rPr>
          <w:color w:val="auto"/>
          <w:spacing w:val="-23"/>
          <w:szCs w:val="21"/>
          <w:highlight w:val="none"/>
        </w:rPr>
        <w:t xml:space="preserve"> 人以上 </w:t>
      </w:r>
      <w:r>
        <w:rPr>
          <w:color w:val="auto"/>
          <w:szCs w:val="21"/>
          <w:highlight w:val="none"/>
        </w:rPr>
        <w:t>50</w:t>
      </w:r>
      <w:r>
        <w:rPr>
          <w:color w:val="auto"/>
          <w:spacing w:val="-15"/>
          <w:szCs w:val="21"/>
          <w:highlight w:val="none"/>
        </w:rPr>
        <w:t xml:space="preserve"> 人以下重伤，或者 </w:t>
      </w:r>
      <w:r>
        <w:rPr>
          <w:color w:val="auto"/>
          <w:szCs w:val="21"/>
          <w:highlight w:val="none"/>
        </w:rPr>
        <w:t>1000</w:t>
      </w:r>
      <w:r>
        <w:rPr>
          <w:color w:val="auto"/>
          <w:spacing w:val="-19"/>
          <w:szCs w:val="21"/>
          <w:highlight w:val="none"/>
        </w:rPr>
        <w:t xml:space="preserve"> 万元</w:t>
      </w:r>
    </w:p>
    <w:p w14:paraId="2590C417">
      <w:pPr>
        <w:pStyle w:val="8"/>
        <w:spacing w:before="6"/>
        <w:rPr>
          <w:color w:val="auto"/>
          <w:sz w:val="21"/>
          <w:szCs w:val="21"/>
          <w:highlight w:val="none"/>
        </w:rPr>
      </w:pPr>
    </w:p>
    <w:p w14:paraId="28CDFCD6">
      <w:pPr>
        <w:pStyle w:val="8"/>
        <w:spacing w:before="1"/>
        <w:ind w:left="132"/>
        <w:rPr>
          <w:color w:val="auto"/>
          <w:sz w:val="21"/>
          <w:szCs w:val="21"/>
          <w:highlight w:val="none"/>
        </w:rPr>
      </w:pPr>
      <w:r>
        <w:rPr>
          <w:color w:val="auto"/>
          <w:sz w:val="21"/>
          <w:szCs w:val="21"/>
          <w:highlight w:val="none"/>
        </w:rPr>
        <w:t>以上 5000 万元以下直接经济损失的事故；</w:t>
      </w:r>
    </w:p>
    <w:p w14:paraId="5FE19D5D">
      <w:pPr>
        <w:pStyle w:val="8"/>
        <w:spacing w:before="6"/>
        <w:rPr>
          <w:color w:val="auto"/>
          <w:sz w:val="21"/>
          <w:szCs w:val="21"/>
          <w:highlight w:val="none"/>
        </w:rPr>
      </w:pPr>
    </w:p>
    <w:p w14:paraId="2D7FFA37">
      <w:pPr>
        <w:pStyle w:val="29"/>
        <w:numPr>
          <w:ilvl w:val="0"/>
          <w:numId w:val="25"/>
        </w:numPr>
        <w:tabs>
          <w:tab w:val="left" w:pos="1080"/>
        </w:tabs>
        <w:ind w:hanging="528"/>
        <w:jc w:val="left"/>
        <w:rPr>
          <w:color w:val="auto"/>
          <w:szCs w:val="21"/>
          <w:highlight w:val="none"/>
        </w:rPr>
      </w:pPr>
      <w:r>
        <w:rPr>
          <w:color w:val="auto"/>
          <w:spacing w:val="-6"/>
          <w:szCs w:val="21"/>
          <w:highlight w:val="none"/>
        </w:rPr>
        <w:t xml:space="preserve">重大事故，是指造成 </w:t>
      </w:r>
      <w:r>
        <w:rPr>
          <w:color w:val="auto"/>
          <w:szCs w:val="21"/>
          <w:highlight w:val="none"/>
        </w:rPr>
        <w:t>10</w:t>
      </w:r>
      <w:r>
        <w:rPr>
          <w:color w:val="auto"/>
          <w:spacing w:val="-22"/>
          <w:szCs w:val="21"/>
          <w:highlight w:val="none"/>
        </w:rPr>
        <w:t xml:space="preserve"> 人以上 </w:t>
      </w:r>
      <w:r>
        <w:rPr>
          <w:color w:val="auto"/>
          <w:szCs w:val="21"/>
          <w:highlight w:val="none"/>
        </w:rPr>
        <w:t>30</w:t>
      </w:r>
      <w:r>
        <w:rPr>
          <w:color w:val="auto"/>
          <w:spacing w:val="-13"/>
          <w:szCs w:val="21"/>
          <w:highlight w:val="none"/>
        </w:rPr>
        <w:t xml:space="preserve"> 人以下死亡，或者 </w:t>
      </w:r>
      <w:r>
        <w:rPr>
          <w:color w:val="auto"/>
          <w:szCs w:val="21"/>
          <w:highlight w:val="none"/>
        </w:rPr>
        <w:t>50</w:t>
      </w:r>
      <w:r>
        <w:rPr>
          <w:color w:val="auto"/>
          <w:spacing w:val="-22"/>
          <w:szCs w:val="21"/>
          <w:highlight w:val="none"/>
        </w:rPr>
        <w:t xml:space="preserve"> 人以上 </w:t>
      </w:r>
      <w:r>
        <w:rPr>
          <w:color w:val="auto"/>
          <w:szCs w:val="21"/>
          <w:highlight w:val="none"/>
        </w:rPr>
        <w:t>100</w:t>
      </w:r>
      <w:r>
        <w:rPr>
          <w:color w:val="auto"/>
          <w:spacing w:val="-13"/>
          <w:szCs w:val="21"/>
          <w:highlight w:val="none"/>
        </w:rPr>
        <w:t xml:space="preserve"> 人以下重伤，或者 </w:t>
      </w:r>
      <w:r>
        <w:rPr>
          <w:color w:val="auto"/>
          <w:szCs w:val="21"/>
          <w:highlight w:val="none"/>
        </w:rPr>
        <w:t>5000</w:t>
      </w:r>
    </w:p>
    <w:p w14:paraId="7C1D8FAB">
      <w:pPr>
        <w:pStyle w:val="8"/>
        <w:spacing w:before="7"/>
        <w:rPr>
          <w:color w:val="auto"/>
          <w:sz w:val="21"/>
          <w:szCs w:val="21"/>
          <w:highlight w:val="none"/>
        </w:rPr>
      </w:pPr>
    </w:p>
    <w:p w14:paraId="222951D7">
      <w:pPr>
        <w:pStyle w:val="8"/>
        <w:ind w:left="132"/>
        <w:rPr>
          <w:color w:val="auto"/>
          <w:sz w:val="21"/>
          <w:szCs w:val="21"/>
          <w:highlight w:val="none"/>
        </w:rPr>
      </w:pPr>
      <w:r>
        <w:rPr>
          <w:color w:val="auto"/>
          <w:sz w:val="21"/>
          <w:szCs w:val="21"/>
          <w:highlight w:val="none"/>
        </w:rPr>
        <w:t>万元以上 1 亿元以下直接经济损失的事故；</w:t>
      </w:r>
    </w:p>
    <w:p w14:paraId="526CFB1C">
      <w:pPr>
        <w:pStyle w:val="8"/>
        <w:spacing w:before="7"/>
        <w:rPr>
          <w:color w:val="auto"/>
          <w:sz w:val="21"/>
          <w:szCs w:val="21"/>
          <w:highlight w:val="none"/>
        </w:rPr>
      </w:pPr>
    </w:p>
    <w:p w14:paraId="5FEDDD25">
      <w:pPr>
        <w:pStyle w:val="29"/>
        <w:numPr>
          <w:ilvl w:val="0"/>
          <w:numId w:val="25"/>
        </w:numPr>
        <w:tabs>
          <w:tab w:val="left" w:pos="1080"/>
        </w:tabs>
        <w:ind w:hanging="528"/>
        <w:jc w:val="left"/>
        <w:rPr>
          <w:color w:val="auto"/>
          <w:szCs w:val="21"/>
          <w:highlight w:val="none"/>
        </w:rPr>
      </w:pPr>
      <w:r>
        <w:rPr>
          <w:color w:val="auto"/>
          <w:spacing w:val="-7"/>
          <w:szCs w:val="21"/>
          <w:highlight w:val="none"/>
        </w:rPr>
        <w:t xml:space="preserve">特别重大事故，是指造成 </w:t>
      </w:r>
      <w:r>
        <w:rPr>
          <w:color w:val="auto"/>
          <w:szCs w:val="21"/>
          <w:highlight w:val="none"/>
        </w:rPr>
        <w:t>30</w:t>
      </w:r>
      <w:r>
        <w:rPr>
          <w:color w:val="auto"/>
          <w:spacing w:val="-14"/>
          <w:szCs w:val="21"/>
          <w:highlight w:val="none"/>
        </w:rPr>
        <w:t xml:space="preserve"> 人以上死亡，或者 </w:t>
      </w:r>
      <w:r>
        <w:rPr>
          <w:color w:val="auto"/>
          <w:szCs w:val="21"/>
          <w:highlight w:val="none"/>
        </w:rPr>
        <w:t>100</w:t>
      </w:r>
      <w:r>
        <w:rPr>
          <w:color w:val="auto"/>
          <w:spacing w:val="-13"/>
          <w:szCs w:val="21"/>
          <w:highlight w:val="none"/>
        </w:rPr>
        <w:t xml:space="preserve"> 人以上重伤</w:t>
      </w:r>
      <w:r>
        <w:rPr>
          <w:color w:val="auto"/>
          <w:szCs w:val="21"/>
          <w:highlight w:val="none"/>
        </w:rPr>
        <w:t>（</w:t>
      </w:r>
      <w:r>
        <w:rPr>
          <w:color w:val="auto"/>
          <w:spacing w:val="-2"/>
          <w:szCs w:val="21"/>
          <w:highlight w:val="none"/>
        </w:rPr>
        <w:t>包括急性工业中毒，下同</w:t>
      </w:r>
      <w:r>
        <w:rPr>
          <w:color w:val="auto"/>
          <w:spacing w:val="-7"/>
          <w:szCs w:val="21"/>
          <w:highlight w:val="none"/>
        </w:rPr>
        <w:t>），</w:t>
      </w:r>
    </w:p>
    <w:p w14:paraId="153598D1">
      <w:pPr>
        <w:pStyle w:val="8"/>
        <w:spacing w:before="6"/>
        <w:rPr>
          <w:color w:val="auto"/>
          <w:sz w:val="21"/>
          <w:szCs w:val="21"/>
          <w:highlight w:val="none"/>
        </w:rPr>
      </w:pPr>
    </w:p>
    <w:p w14:paraId="4F8ED60F">
      <w:pPr>
        <w:pStyle w:val="8"/>
        <w:spacing w:before="1"/>
        <w:ind w:left="132"/>
        <w:rPr>
          <w:color w:val="auto"/>
          <w:sz w:val="21"/>
          <w:szCs w:val="21"/>
          <w:highlight w:val="none"/>
        </w:rPr>
      </w:pPr>
      <w:r>
        <w:rPr>
          <w:color w:val="auto"/>
          <w:sz w:val="21"/>
          <w:szCs w:val="21"/>
          <w:highlight w:val="none"/>
        </w:rPr>
        <w:t>或者 1 亿元以上直接经济损失的事故；</w:t>
      </w:r>
    </w:p>
    <w:p w14:paraId="0E6946BE">
      <w:pPr>
        <w:pStyle w:val="8"/>
        <w:spacing w:before="6"/>
        <w:rPr>
          <w:color w:val="auto"/>
          <w:sz w:val="21"/>
          <w:szCs w:val="21"/>
          <w:highlight w:val="none"/>
        </w:rPr>
      </w:pPr>
    </w:p>
    <w:p w14:paraId="4CF1F7EF">
      <w:pPr>
        <w:pStyle w:val="29"/>
        <w:numPr>
          <w:ilvl w:val="0"/>
          <w:numId w:val="25"/>
        </w:numPr>
        <w:tabs>
          <w:tab w:val="left" w:pos="1080"/>
        </w:tabs>
        <w:ind w:hanging="528"/>
        <w:jc w:val="left"/>
        <w:rPr>
          <w:color w:val="auto"/>
          <w:szCs w:val="21"/>
          <w:highlight w:val="none"/>
        </w:rPr>
      </w:pPr>
      <w:r>
        <w:rPr>
          <w:color w:val="auto"/>
          <w:szCs w:val="21"/>
          <w:highlight w:val="none"/>
        </w:rPr>
        <w:t>所称的“以上”包括本数，所称的“以下”不包括本数。</w:t>
      </w:r>
    </w:p>
    <w:p w14:paraId="0FEB12F5">
      <w:pPr>
        <w:pStyle w:val="8"/>
        <w:spacing w:before="7"/>
        <w:rPr>
          <w:color w:val="auto"/>
          <w:sz w:val="21"/>
          <w:szCs w:val="21"/>
          <w:highlight w:val="none"/>
        </w:rPr>
      </w:pPr>
    </w:p>
    <w:p w14:paraId="63664C76">
      <w:pPr>
        <w:pStyle w:val="29"/>
        <w:numPr>
          <w:ilvl w:val="0"/>
          <w:numId w:val="25"/>
        </w:numPr>
        <w:tabs>
          <w:tab w:val="left" w:pos="1080"/>
        </w:tabs>
        <w:ind w:hanging="528"/>
        <w:rPr>
          <w:color w:val="auto"/>
          <w:szCs w:val="21"/>
          <w:highlight w:val="none"/>
        </w:rPr>
      </w:pPr>
      <w:r>
        <w:rPr>
          <w:color w:val="auto"/>
          <w:spacing w:val="-2"/>
          <w:szCs w:val="21"/>
          <w:highlight w:val="none"/>
        </w:rPr>
        <w:t xml:space="preserve">如整个施工过程未发生以上安全事故，则给予承包人建安费总额的 </w:t>
      </w:r>
      <w:r>
        <w:rPr>
          <w:color w:val="auto"/>
          <w:szCs w:val="21"/>
          <w:highlight w:val="none"/>
        </w:rPr>
        <w:t>1‰的安全奖励。</w:t>
      </w:r>
    </w:p>
    <w:p w14:paraId="0009B6A3">
      <w:pPr>
        <w:pStyle w:val="8"/>
        <w:spacing w:before="7"/>
        <w:rPr>
          <w:color w:val="auto"/>
          <w:sz w:val="21"/>
          <w:szCs w:val="21"/>
          <w:highlight w:val="none"/>
        </w:rPr>
      </w:pPr>
    </w:p>
    <w:p w14:paraId="62EB3E68">
      <w:pPr>
        <w:pStyle w:val="8"/>
        <w:spacing w:line="417" w:lineRule="auto"/>
        <w:ind w:left="132" w:right="443" w:firstLine="420"/>
        <w:rPr>
          <w:color w:val="auto"/>
          <w:sz w:val="21"/>
          <w:szCs w:val="21"/>
          <w:highlight w:val="none"/>
        </w:rPr>
      </w:pPr>
      <w:r>
        <w:rPr>
          <w:rFonts w:ascii="宋体" w:hAnsi="宋体" w:cs="宋体"/>
          <w:color w:val="auto"/>
          <w:spacing w:val="-2"/>
          <w:sz w:val="21"/>
          <w:szCs w:val="21"/>
          <w:highlight w:val="none"/>
          <w:lang w:val="zh-CN" w:bidi="zh-CN"/>
        </w:rPr>
        <w:t>发包人委托的监理公司负责对承包人的安全业绩进行考核。每次合同支付前，承包人提交自我安全业绩评估报告，然后交发包人委托的监理公司评价。发包人委托的监理公司在签署评价意见后，将作为</w:t>
      </w:r>
      <w:r>
        <w:rPr>
          <w:color w:val="auto"/>
          <w:sz w:val="21"/>
          <w:szCs w:val="21"/>
          <w:highlight w:val="none"/>
        </w:rPr>
        <w:t>合同支付依据之一，同时也作为是否可接受承包人再次参加发包人项目投标的依据之一。</w:t>
      </w:r>
    </w:p>
    <w:p w14:paraId="192626AC">
      <w:pPr>
        <w:pStyle w:val="8"/>
        <w:spacing w:line="269" w:lineRule="exact"/>
        <w:ind w:left="552"/>
        <w:rPr>
          <w:color w:val="auto"/>
          <w:sz w:val="21"/>
          <w:szCs w:val="21"/>
          <w:highlight w:val="none"/>
        </w:rPr>
      </w:pPr>
      <w:r>
        <w:rPr>
          <w:color w:val="auto"/>
          <w:sz w:val="21"/>
          <w:szCs w:val="21"/>
          <w:highlight w:val="none"/>
        </w:rPr>
        <w:t>十七、协议条款的修订</w:t>
      </w:r>
    </w:p>
    <w:p w14:paraId="51D835E0">
      <w:pPr>
        <w:pStyle w:val="8"/>
        <w:spacing w:before="6"/>
        <w:rPr>
          <w:color w:val="auto"/>
          <w:sz w:val="21"/>
          <w:szCs w:val="21"/>
          <w:highlight w:val="none"/>
        </w:rPr>
      </w:pPr>
    </w:p>
    <w:p w14:paraId="6B873FC5">
      <w:pPr>
        <w:pStyle w:val="8"/>
        <w:spacing w:before="1"/>
        <w:ind w:left="552"/>
        <w:rPr>
          <w:color w:val="auto"/>
          <w:sz w:val="21"/>
          <w:szCs w:val="21"/>
          <w:highlight w:val="none"/>
        </w:rPr>
      </w:pPr>
      <w:r>
        <w:rPr>
          <w:color w:val="auto"/>
          <w:sz w:val="21"/>
          <w:szCs w:val="21"/>
          <w:highlight w:val="none"/>
        </w:rPr>
        <w:t>在项目实施过程中，经双方友好协商，本协议的有关条款也可做出相应的修改。</w:t>
      </w:r>
    </w:p>
    <w:p w14:paraId="43FFBC0F">
      <w:pPr>
        <w:pStyle w:val="8"/>
        <w:spacing w:before="6"/>
        <w:rPr>
          <w:color w:val="auto"/>
          <w:sz w:val="21"/>
          <w:szCs w:val="21"/>
          <w:highlight w:val="none"/>
        </w:rPr>
      </w:pPr>
    </w:p>
    <w:p w14:paraId="5FB006CD">
      <w:pPr>
        <w:pStyle w:val="8"/>
        <w:ind w:left="552"/>
        <w:rPr>
          <w:color w:val="auto"/>
          <w:sz w:val="21"/>
          <w:szCs w:val="21"/>
          <w:highlight w:val="none"/>
        </w:rPr>
      </w:pPr>
      <w:r>
        <w:rPr>
          <w:color w:val="auto"/>
          <w:sz w:val="21"/>
          <w:szCs w:val="21"/>
          <w:highlight w:val="none"/>
        </w:rPr>
        <w:t>本工程安全管理协议，由发包人、承包人双方在施工承包合同签订时共同签署，作为施工合同附件。</w:t>
      </w:r>
    </w:p>
    <w:p w14:paraId="082C34DA">
      <w:pPr>
        <w:pStyle w:val="8"/>
        <w:tabs>
          <w:tab w:val="left" w:pos="6394"/>
        </w:tabs>
        <w:spacing w:before="15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发包人2</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11BC1AFF">
      <w:pPr>
        <w:pStyle w:val="8"/>
        <w:tabs>
          <w:tab w:val="left" w:pos="5880"/>
        </w:tabs>
        <w:rPr>
          <w:color w:val="auto"/>
          <w:sz w:val="21"/>
          <w:szCs w:val="21"/>
          <w:highlight w:val="none"/>
        </w:rPr>
      </w:pPr>
    </w:p>
    <w:p w14:paraId="28821107">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27B33402">
      <w:pPr>
        <w:pStyle w:val="8"/>
        <w:spacing w:before="9"/>
        <w:rPr>
          <w:color w:val="auto"/>
          <w:sz w:val="21"/>
          <w:szCs w:val="21"/>
          <w:highlight w:val="none"/>
        </w:rPr>
      </w:pPr>
    </w:p>
    <w:p w14:paraId="77BDFEF7">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7D9D784">
      <w:pPr>
        <w:pStyle w:val="8"/>
        <w:spacing w:before="7"/>
        <w:rPr>
          <w:color w:val="auto"/>
          <w:sz w:val="21"/>
          <w:szCs w:val="21"/>
          <w:highlight w:val="none"/>
        </w:rPr>
      </w:pPr>
    </w:p>
    <w:p w14:paraId="1CF627B7">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15A9938D">
      <w:pPr>
        <w:pStyle w:val="8"/>
        <w:spacing w:before="4"/>
        <w:rPr>
          <w:color w:val="auto"/>
          <w:sz w:val="21"/>
          <w:szCs w:val="21"/>
          <w:highlight w:val="none"/>
        </w:rPr>
      </w:pPr>
    </w:p>
    <w:p w14:paraId="4E0323C1">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18A038C8">
      <w:pPr>
        <w:spacing w:line="219" w:lineRule="exact"/>
        <w:ind w:firstLine="210" w:firstLineChars="100"/>
        <w:rPr>
          <w:rFonts w:hint="eastAsia"/>
          <w:color w:val="auto"/>
          <w:szCs w:val="21"/>
          <w:highlight w:val="none"/>
        </w:rPr>
      </w:pPr>
    </w:p>
    <w:p w14:paraId="05288941">
      <w:pPr>
        <w:pStyle w:val="8"/>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674366A3">
      <w:pPr>
        <w:pStyle w:val="8"/>
        <w:tabs>
          <w:tab w:val="left" w:pos="6394"/>
        </w:tabs>
        <w:spacing w:before="152"/>
        <w:rPr>
          <w:color w:val="auto"/>
          <w:sz w:val="21"/>
          <w:szCs w:val="21"/>
          <w:highlight w:val="none"/>
        </w:rPr>
      </w:pPr>
      <w:r>
        <w:rPr>
          <w:color w:val="auto"/>
          <w:sz w:val="21"/>
          <w:szCs w:val="21"/>
          <w:highlight w:val="none"/>
        </w:rPr>
        <w:t>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（公章）</w:t>
      </w:r>
    </w:p>
    <w:p w14:paraId="08B1D706">
      <w:pPr>
        <w:pStyle w:val="8"/>
        <w:spacing w:before="4"/>
        <w:rPr>
          <w:color w:val="auto"/>
          <w:sz w:val="21"/>
          <w:szCs w:val="21"/>
          <w:highlight w:val="none"/>
        </w:rPr>
      </w:pPr>
    </w:p>
    <w:p w14:paraId="0C75A5DC">
      <w:pPr>
        <w:pStyle w:val="8"/>
        <w:tabs>
          <w:tab w:val="left" w:pos="5974"/>
        </w:tabs>
        <w:rPr>
          <w:color w:val="auto"/>
          <w:sz w:val="21"/>
          <w:szCs w:val="21"/>
          <w:highlight w:val="none"/>
        </w:rPr>
      </w:pPr>
      <w:r>
        <w:rPr>
          <w:color w:val="auto"/>
          <w:sz w:val="21"/>
          <w:szCs w:val="21"/>
          <w:highlight w:val="none"/>
        </w:rPr>
        <w:t>法定代表人或</w:t>
      </w:r>
      <w:r>
        <w:rPr>
          <w:rFonts w:hint="eastAsia"/>
          <w:color w:val="auto"/>
          <w:sz w:val="21"/>
          <w:szCs w:val="21"/>
          <w:highlight w:val="none"/>
          <w:lang w:val="en-US" w:eastAsia="zh-CN"/>
        </w:rPr>
        <w:t>拟派项目经理</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47DB4A93">
      <w:pPr>
        <w:pStyle w:val="8"/>
        <w:spacing w:before="9"/>
        <w:rPr>
          <w:color w:val="auto"/>
          <w:sz w:val="21"/>
          <w:szCs w:val="21"/>
          <w:highlight w:val="none"/>
        </w:rPr>
      </w:pPr>
    </w:p>
    <w:p w14:paraId="10107064">
      <w:pPr>
        <w:pStyle w:val="8"/>
        <w:tabs>
          <w:tab w:val="left" w:pos="5974"/>
        </w:tabs>
        <w:rPr>
          <w:color w:val="auto"/>
          <w:sz w:val="21"/>
          <w:szCs w:val="21"/>
          <w:highlight w:val="none"/>
        </w:rPr>
      </w:pPr>
      <w:r>
        <w:rPr>
          <w:color w:val="auto"/>
          <w:sz w:val="21"/>
          <w:szCs w:val="21"/>
          <w:highlight w:val="none"/>
        </w:rPr>
        <w:t>地址：</w:t>
      </w:r>
    </w:p>
    <w:p w14:paraId="25C2D81B">
      <w:pPr>
        <w:pStyle w:val="8"/>
        <w:spacing w:before="4"/>
        <w:rPr>
          <w:color w:val="auto"/>
          <w:sz w:val="21"/>
          <w:szCs w:val="21"/>
          <w:highlight w:val="none"/>
        </w:rPr>
      </w:pPr>
    </w:p>
    <w:p w14:paraId="02010281">
      <w:pPr>
        <w:pStyle w:val="8"/>
        <w:tabs>
          <w:tab w:val="left" w:pos="5974"/>
        </w:tabs>
        <w:rPr>
          <w:color w:val="auto"/>
          <w:sz w:val="21"/>
          <w:szCs w:val="21"/>
          <w:highlight w:val="none"/>
        </w:rPr>
      </w:pPr>
      <w:r>
        <w:rPr>
          <w:color w:val="auto"/>
          <w:sz w:val="21"/>
          <w:szCs w:val="21"/>
          <w:highlight w:val="none"/>
        </w:rPr>
        <w:t>电话：</w:t>
      </w:r>
    </w:p>
    <w:p w14:paraId="3236AFDC">
      <w:pPr>
        <w:pStyle w:val="8"/>
        <w:spacing w:before="7"/>
        <w:rPr>
          <w:color w:val="auto"/>
          <w:sz w:val="21"/>
          <w:szCs w:val="21"/>
          <w:highlight w:val="none"/>
        </w:rPr>
      </w:pPr>
    </w:p>
    <w:p w14:paraId="114DFB00">
      <w:pPr>
        <w:pStyle w:val="8"/>
        <w:tabs>
          <w:tab w:val="left" w:pos="2294"/>
          <w:tab w:val="left" w:pos="2714"/>
          <w:tab w:val="left" w:pos="5759"/>
          <w:tab w:val="left" w:pos="7754"/>
          <w:tab w:val="left" w:pos="8279"/>
        </w:tabs>
        <w:ind w:left="403"/>
        <w:rPr>
          <w:color w:val="auto"/>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14:paraId="5C87BDE7">
      <w:pPr>
        <w:rPr>
          <w:color w:val="auto"/>
          <w:szCs w:val="21"/>
          <w:highlight w:val="none"/>
        </w:rPr>
        <w:sectPr>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2036E12">
      <w:pPr>
        <w:pStyle w:val="2"/>
        <w:numPr>
          <w:ilvl w:val="0"/>
          <w:numId w:val="0"/>
        </w:numPr>
        <w:ind w:firstLine="3600"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14:paraId="14A68B54">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696486E5">
      <w:pPr>
        <w:rPr>
          <w:rFonts w:hint="eastAsia"/>
          <w:color w:val="auto"/>
          <w:highlight w:val="none"/>
          <w:lang w:val="en-US" w:eastAsia="zh-CN"/>
        </w:rPr>
      </w:pPr>
    </w:p>
    <w:p w14:paraId="6A322CDB">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14:paraId="53835303">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31"/>
          <w:rFonts w:hint="eastAsia"/>
          <w:color w:val="auto"/>
          <w:highlight w:val="none"/>
          <w:lang w:val="en-US" w:eastAsia="zh-CN"/>
        </w:rPr>
      </w:pPr>
      <w:r>
        <w:rPr>
          <w:rFonts w:hint="eastAsia" w:ascii="宋体" w:hAnsi="宋体"/>
          <w:color w:val="auto"/>
          <w:highlight w:val="none"/>
        </w:rPr>
        <w:br w:type="page"/>
      </w:r>
      <w:bookmarkStart w:id="28" w:name="_Toc16442"/>
      <w:r>
        <w:rPr>
          <w:rStyle w:val="31"/>
          <w:rFonts w:hint="eastAsia"/>
          <w:color w:val="auto"/>
          <w:highlight w:val="none"/>
          <w:lang w:val="en-US" w:eastAsia="zh-CN"/>
        </w:rPr>
        <w:t xml:space="preserve">第七章 </w:t>
      </w:r>
      <w:bookmarkEnd w:id="23"/>
      <w:bookmarkStart w:id="29" w:name="_Toc224103492"/>
      <w:r>
        <w:rPr>
          <w:rStyle w:val="31"/>
          <w:rFonts w:hint="eastAsia"/>
          <w:color w:val="auto"/>
          <w:highlight w:val="none"/>
          <w:lang w:val="en-US" w:eastAsia="zh-CN"/>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3FBF73B1">
      <w:pPr>
        <w:autoSpaceDE w:val="0"/>
        <w:autoSpaceDN w:val="0"/>
        <w:adjustRightInd w:val="0"/>
        <w:spacing w:before="9" w:line="313" w:lineRule="auto"/>
        <w:ind w:right="177" w:firstLine="464" w:firstLineChars="221"/>
        <w:rPr>
          <w:rFonts w:hint="eastAsia"/>
          <w:color w:val="auto"/>
          <w:szCs w:val="21"/>
          <w:highlight w:val="none"/>
        </w:rPr>
      </w:pPr>
    </w:p>
    <w:p w14:paraId="08137F8D">
      <w:pPr>
        <w:autoSpaceDE w:val="0"/>
        <w:autoSpaceDN w:val="0"/>
        <w:adjustRightInd w:val="0"/>
        <w:spacing w:before="9" w:line="313" w:lineRule="auto"/>
        <w:ind w:right="177" w:firstLine="464" w:firstLineChars="221"/>
        <w:rPr>
          <w:rFonts w:hint="eastAsia"/>
          <w:color w:val="auto"/>
          <w:szCs w:val="21"/>
          <w:highlight w:val="none"/>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67F70C71">
      <w:pPr>
        <w:pageBreakBefore/>
        <w:spacing w:line="360" w:lineRule="auto"/>
        <w:jc w:val="center"/>
        <w:outlineLvl w:val="1"/>
        <w:rPr>
          <w:rFonts w:hint="eastAsia" w:ascii="宋体" w:hAnsi="宋体"/>
          <w:color w:val="auto"/>
          <w:sz w:val="36"/>
          <w:szCs w:val="36"/>
          <w:highlight w:val="none"/>
        </w:rPr>
        <w:sectPr>
          <w:footerReference r:id="rId9"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4DED1E95">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lang w:val="en-US" w:eastAsia="zh-CN"/>
        </w:rPr>
        <w:t>一</w:t>
      </w:r>
      <w:r>
        <w:rPr>
          <w:rFonts w:hint="eastAsia" w:ascii="宋体" w:hAnsi="宋体"/>
          <w:color w:val="auto"/>
          <w:sz w:val="36"/>
          <w:szCs w:val="36"/>
          <w:highlight w:val="none"/>
        </w:rPr>
        <w:t>、竞选函部分</w:t>
      </w:r>
    </w:p>
    <w:p w14:paraId="2170C7A6">
      <w:pPr>
        <w:spacing w:line="360" w:lineRule="auto"/>
        <w:jc w:val="center"/>
        <w:rPr>
          <w:rFonts w:ascii="宋体" w:hAnsi="宋体"/>
          <w:color w:val="auto"/>
          <w:highlight w:val="none"/>
        </w:rPr>
      </w:pPr>
    </w:p>
    <w:p w14:paraId="24586C73">
      <w:pPr>
        <w:spacing w:line="360" w:lineRule="auto"/>
        <w:jc w:val="center"/>
        <w:rPr>
          <w:rFonts w:ascii="宋体" w:hAnsi="宋体"/>
          <w:color w:val="auto"/>
          <w:highlight w:val="none"/>
        </w:rPr>
        <w:sectPr>
          <w:footerReference r:id="rId11" w:type="first"/>
          <w:footerReference r:id="rId10"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auto"/>
          <w:highlight w:val="none"/>
        </w:rPr>
      </w:pPr>
    </w:p>
    <w:p w14:paraId="5A954F7D">
      <w:pPr>
        <w:spacing w:line="360" w:lineRule="auto"/>
        <w:jc w:val="center"/>
        <w:rPr>
          <w:rFonts w:hint="eastAsia" w:ascii="宋体" w:hAnsi="宋体"/>
          <w:color w:val="auto"/>
          <w:kern w:val="0"/>
          <w:sz w:val="32"/>
          <w:szCs w:val="32"/>
          <w:highlight w:val="none"/>
          <w:u w:val="single"/>
        </w:rPr>
      </w:pPr>
    </w:p>
    <w:p w14:paraId="7C7506D4">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541B3807">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14:paraId="6B1281B2">
      <w:pPr>
        <w:autoSpaceDE w:val="0"/>
        <w:autoSpaceDN w:val="0"/>
        <w:adjustRightInd w:val="0"/>
        <w:snapToGrid w:val="0"/>
        <w:spacing w:line="360" w:lineRule="auto"/>
        <w:jc w:val="left"/>
        <w:rPr>
          <w:rFonts w:ascii="宋体" w:hAnsi="宋体"/>
          <w:b/>
          <w:color w:val="auto"/>
          <w:kern w:val="0"/>
          <w:sz w:val="20"/>
          <w:szCs w:val="20"/>
          <w:highlight w:val="none"/>
        </w:rPr>
      </w:pPr>
    </w:p>
    <w:p w14:paraId="3215BB23">
      <w:pPr>
        <w:autoSpaceDE w:val="0"/>
        <w:autoSpaceDN w:val="0"/>
        <w:adjustRightInd w:val="0"/>
        <w:snapToGrid w:val="0"/>
        <w:spacing w:line="360" w:lineRule="auto"/>
        <w:jc w:val="left"/>
        <w:rPr>
          <w:rFonts w:ascii="宋体" w:hAnsi="宋体"/>
          <w:b/>
          <w:color w:val="auto"/>
          <w:kern w:val="0"/>
          <w:sz w:val="20"/>
          <w:szCs w:val="20"/>
          <w:highlight w:val="none"/>
        </w:rPr>
      </w:pPr>
    </w:p>
    <w:p w14:paraId="5FA2F91E">
      <w:pPr>
        <w:autoSpaceDE w:val="0"/>
        <w:autoSpaceDN w:val="0"/>
        <w:adjustRightInd w:val="0"/>
        <w:snapToGrid w:val="0"/>
        <w:spacing w:line="360" w:lineRule="auto"/>
        <w:jc w:val="left"/>
        <w:rPr>
          <w:rFonts w:ascii="宋体" w:hAnsi="宋体"/>
          <w:b/>
          <w:color w:val="auto"/>
          <w:kern w:val="0"/>
          <w:sz w:val="20"/>
          <w:szCs w:val="20"/>
          <w:highlight w:val="none"/>
        </w:rPr>
      </w:pPr>
    </w:p>
    <w:p w14:paraId="5E69F7F2">
      <w:pPr>
        <w:autoSpaceDE w:val="0"/>
        <w:autoSpaceDN w:val="0"/>
        <w:adjustRightInd w:val="0"/>
        <w:snapToGrid w:val="0"/>
        <w:spacing w:line="360" w:lineRule="auto"/>
        <w:jc w:val="left"/>
        <w:rPr>
          <w:rFonts w:ascii="宋体" w:hAnsi="宋体"/>
          <w:b/>
          <w:color w:val="auto"/>
          <w:kern w:val="0"/>
          <w:sz w:val="20"/>
          <w:szCs w:val="20"/>
          <w:highlight w:val="none"/>
        </w:rPr>
      </w:pPr>
    </w:p>
    <w:p w14:paraId="464D4340">
      <w:pPr>
        <w:autoSpaceDE w:val="0"/>
        <w:autoSpaceDN w:val="0"/>
        <w:adjustRightInd w:val="0"/>
        <w:snapToGrid w:val="0"/>
        <w:spacing w:line="360" w:lineRule="auto"/>
        <w:jc w:val="left"/>
        <w:rPr>
          <w:rFonts w:ascii="宋体" w:hAnsi="宋体"/>
          <w:b/>
          <w:color w:val="auto"/>
          <w:kern w:val="0"/>
          <w:sz w:val="20"/>
          <w:szCs w:val="20"/>
          <w:highlight w:val="none"/>
        </w:rPr>
      </w:pPr>
    </w:p>
    <w:p w14:paraId="3A55E76A">
      <w:pPr>
        <w:autoSpaceDE w:val="0"/>
        <w:autoSpaceDN w:val="0"/>
        <w:adjustRightInd w:val="0"/>
        <w:snapToGrid w:val="0"/>
        <w:spacing w:line="360" w:lineRule="auto"/>
        <w:jc w:val="left"/>
        <w:rPr>
          <w:rFonts w:ascii="宋体" w:hAnsi="宋体"/>
          <w:b/>
          <w:color w:val="auto"/>
          <w:kern w:val="0"/>
          <w:sz w:val="20"/>
          <w:szCs w:val="20"/>
          <w:highlight w:val="none"/>
        </w:rPr>
      </w:pPr>
    </w:p>
    <w:p w14:paraId="0D4D73FC">
      <w:pPr>
        <w:autoSpaceDE w:val="0"/>
        <w:autoSpaceDN w:val="0"/>
        <w:adjustRightInd w:val="0"/>
        <w:snapToGrid w:val="0"/>
        <w:spacing w:line="360" w:lineRule="auto"/>
        <w:jc w:val="left"/>
        <w:rPr>
          <w:rFonts w:ascii="宋体" w:hAnsi="宋体"/>
          <w:b/>
          <w:color w:val="auto"/>
          <w:kern w:val="0"/>
          <w:sz w:val="20"/>
          <w:szCs w:val="20"/>
          <w:highlight w:val="none"/>
        </w:rPr>
      </w:pPr>
    </w:p>
    <w:p w14:paraId="2A30F8BA">
      <w:pPr>
        <w:autoSpaceDE w:val="0"/>
        <w:autoSpaceDN w:val="0"/>
        <w:adjustRightInd w:val="0"/>
        <w:snapToGrid w:val="0"/>
        <w:spacing w:line="360" w:lineRule="auto"/>
        <w:jc w:val="left"/>
        <w:rPr>
          <w:rFonts w:ascii="宋体" w:hAnsi="宋体"/>
          <w:b/>
          <w:color w:val="auto"/>
          <w:kern w:val="0"/>
          <w:sz w:val="20"/>
          <w:szCs w:val="20"/>
          <w:highlight w:val="none"/>
        </w:rPr>
      </w:pPr>
    </w:p>
    <w:p w14:paraId="72613AD7">
      <w:pPr>
        <w:autoSpaceDE w:val="0"/>
        <w:autoSpaceDN w:val="0"/>
        <w:adjustRightInd w:val="0"/>
        <w:snapToGrid w:val="0"/>
        <w:spacing w:line="360" w:lineRule="auto"/>
        <w:jc w:val="left"/>
        <w:rPr>
          <w:rFonts w:ascii="宋体" w:hAnsi="宋体"/>
          <w:b/>
          <w:color w:val="auto"/>
          <w:kern w:val="0"/>
          <w:sz w:val="20"/>
          <w:szCs w:val="20"/>
          <w:highlight w:val="none"/>
        </w:rPr>
      </w:pPr>
    </w:p>
    <w:p w14:paraId="32000C69">
      <w:pPr>
        <w:autoSpaceDE w:val="0"/>
        <w:autoSpaceDN w:val="0"/>
        <w:adjustRightInd w:val="0"/>
        <w:snapToGrid w:val="0"/>
        <w:spacing w:line="360" w:lineRule="auto"/>
        <w:jc w:val="left"/>
        <w:rPr>
          <w:rFonts w:ascii="宋体" w:hAnsi="宋体"/>
          <w:b/>
          <w:color w:val="auto"/>
          <w:kern w:val="0"/>
          <w:sz w:val="20"/>
          <w:szCs w:val="20"/>
          <w:highlight w:val="none"/>
        </w:rPr>
      </w:pPr>
    </w:p>
    <w:p w14:paraId="32664755">
      <w:pPr>
        <w:autoSpaceDE w:val="0"/>
        <w:autoSpaceDN w:val="0"/>
        <w:adjustRightInd w:val="0"/>
        <w:snapToGrid w:val="0"/>
        <w:spacing w:line="360" w:lineRule="auto"/>
        <w:jc w:val="left"/>
        <w:rPr>
          <w:rFonts w:ascii="宋体" w:hAnsi="宋体"/>
          <w:b/>
          <w:color w:val="auto"/>
          <w:kern w:val="0"/>
          <w:sz w:val="20"/>
          <w:szCs w:val="20"/>
          <w:highlight w:val="none"/>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670217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5DF0ADB8">
      <w:pPr>
        <w:rPr>
          <w:color w:val="auto"/>
          <w:highlight w:val="none"/>
        </w:rPr>
      </w:pPr>
    </w:p>
    <w:p w14:paraId="270F0CB0">
      <w:pPr>
        <w:spacing w:line="360" w:lineRule="auto"/>
        <w:rPr>
          <w:rFonts w:hint="eastAsia" w:ascii="宋体" w:hAnsi="宋体"/>
          <w:bCs/>
          <w:color w:val="auto"/>
          <w:highlight w:val="none"/>
        </w:rPr>
      </w:pPr>
      <w:r>
        <w:rPr>
          <w:rFonts w:hint="eastAsia" w:ascii="宋体" w:hAnsi="宋体"/>
          <w:bCs/>
          <w:color w:val="auto"/>
          <w:highlight w:val="none"/>
        </w:rPr>
        <w:t>1.竞选函</w:t>
      </w:r>
    </w:p>
    <w:p w14:paraId="27F8287F">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48B4A042">
      <w:pPr>
        <w:spacing w:line="360" w:lineRule="auto"/>
        <w:rPr>
          <w:rFonts w:hint="eastAsia" w:ascii="宋体" w:hAnsi="宋体"/>
          <w:bCs/>
          <w:color w:val="auto"/>
          <w:highlight w:val="none"/>
        </w:rPr>
      </w:pPr>
      <w:r>
        <w:rPr>
          <w:rFonts w:hint="eastAsia" w:ascii="宋体" w:hAnsi="宋体"/>
          <w:bCs/>
          <w:color w:val="auto"/>
          <w:highlight w:val="none"/>
        </w:rPr>
        <w:t>3.银行开户证明</w:t>
      </w:r>
    </w:p>
    <w:p w14:paraId="01786A67">
      <w:pPr>
        <w:autoSpaceDE w:val="0"/>
        <w:autoSpaceDN w:val="0"/>
        <w:adjustRightInd w:val="0"/>
        <w:spacing w:line="360" w:lineRule="auto"/>
        <w:ind w:firstLine="480" w:firstLineChars="200"/>
        <w:jc w:val="left"/>
        <w:rPr>
          <w:rFonts w:ascii="宋体" w:hAnsi="宋体"/>
          <w:color w:val="auto"/>
          <w:kern w:val="0"/>
          <w:sz w:val="24"/>
          <w:highlight w:val="none"/>
        </w:rPr>
      </w:pPr>
    </w:p>
    <w:p w14:paraId="4E3ED8E8">
      <w:pPr>
        <w:autoSpaceDE w:val="0"/>
        <w:autoSpaceDN w:val="0"/>
        <w:adjustRightInd w:val="0"/>
        <w:spacing w:line="360" w:lineRule="auto"/>
        <w:ind w:firstLine="480" w:firstLineChars="200"/>
        <w:jc w:val="left"/>
        <w:rPr>
          <w:rFonts w:ascii="宋体" w:hAnsi="宋体"/>
          <w:color w:val="auto"/>
          <w:kern w:val="0"/>
          <w:sz w:val="24"/>
          <w:highlight w:val="none"/>
        </w:rPr>
      </w:pPr>
    </w:p>
    <w:p w14:paraId="122A307C">
      <w:pPr>
        <w:autoSpaceDE w:val="0"/>
        <w:autoSpaceDN w:val="0"/>
        <w:adjustRightInd w:val="0"/>
        <w:snapToGrid w:val="0"/>
        <w:spacing w:line="360" w:lineRule="auto"/>
        <w:jc w:val="left"/>
        <w:rPr>
          <w:rFonts w:ascii="宋体" w:hAnsi="宋体"/>
          <w:color w:val="auto"/>
          <w:kern w:val="0"/>
          <w:szCs w:val="21"/>
          <w:highlight w:val="none"/>
        </w:rPr>
      </w:pPr>
    </w:p>
    <w:p w14:paraId="4F23FB3F">
      <w:pPr>
        <w:autoSpaceDE w:val="0"/>
        <w:autoSpaceDN w:val="0"/>
        <w:adjustRightInd w:val="0"/>
        <w:snapToGrid w:val="0"/>
        <w:spacing w:line="360" w:lineRule="auto"/>
        <w:jc w:val="left"/>
        <w:rPr>
          <w:rFonts w:ascii="宋体" w:hAnsi="宋体"/>
          <w:color w:val="auto"/>
          <w:kern w:val="0"/>
          <w:szCs w:val="21"/>
          <w:highlight w:val="none"/>
        </w:rPr>
      </w:pPr>
    </w:p>
    <w:p w14:paraId="10479533">
      <w:pPr>
        <w:autoSpaceDE w:val="0"/>
        <w:autoSpaceDN w:val="0"/>
        <w:adjustRightInd w:val="0"/>
        <w:snapToGrid w:val="0"/>
        <w:spacing w:line="360" w:lineRule="auto"/>
        <w:jc w:val="left"/>
        <w:rPr>
          <w:rFonts w:ascii="宋体" w:hAnsi="宋体"/>
          <w:color w:val="auto"/>
          <w:kern w:val="0"/>
          <w:szCs w:val="21"/>
          <w:highlight w:val="none"/>
        </w:rPr>
      </w:pPr>
    </w:p>
    <w:p w14:paraId="3767ED2A">
      <w:pPr>
        <w:autoSpaceDE w:val="0"/>
        <w:autoSpaceDN w:val="0"/>
        <w:adjustRightInd w:val="0"/>
        <w:snapToGrid w:val="0"/>
        <w:spacing w:line="360" w:lineRule="auto"/>
        <w:jc w:val="left"/>
        <w:rPr>
          <w:rFonts w:ascii="宋体" w:hAnsi="宋体"/>
          <w:color w:val="auto"/>
          <w:kern w:val="0"/>
          <w:highlight w:val="none"/>
        </w:rPr>
      </w:pPr>
    </w:p>
    <w:p w14:paraId="24E4C1AB">
      <w:pPr>
        <w:autoSpaceDE w:val="0"/>
        <w:autoSpaceDN w:val="0"/>
        <w:adjustRightInd w:val="0"/>
        <w:snapToGrid w:val="0"/>
        <w:spacing w:line="360" w:lineRule="auto"/>
        <w:jc w:val="left"/>
        <w:rPr>
          <w:rFonts w:ascii="宋体" w:hAnsi="宋体"/>
          <w:color w:val="auto"/>
          <w:kern w:val="0"/>
          <w:highlight w:val="none"/>
        </w:rPr>
      </w:pPr>
    </w:p>
    <w:p w14:paraId="135792F1">
      <w:pPr>
        <w:autoSpaceDE w:val="0"/>
        <w:autoSpaceDN w:val="0"/>
        <w:adjustRightInd w:val="0"/>
        <w:snapToGrid w:val="0"/>
        <w:spacing w:line="360" w:lineRule="auto"/>
        <w:jc w:val="left"/>
        <w:rPr>
          <w:rFonts w:ascii="宋体" w:hAnsi="宋体"/>
          <w:color w:val="auto"/>
          <w:kern w:val="0"/>
          <w:highlight w:val="none"/>
        </w:rPr>
      </w:pPr>
    </w:p>
    <w:p w14:paraId="13FCFAF7">
      <w:pPr>
        <w:autoSpaceDE w:val="0"/>
        <w:autoSpaceDN w:val="0"/>
        <w:adjustRightInd w:val="0"/>
        <w:snapToGrid w:val="0"/>
        <w:spacing w:line="360" w:lineRule="auto"/>
        <w:jc w:val="left"/>
        <w:rPr>
          <w:rFonts w:ascii="宋体" w:hAnsi="宋体"/>
          <w:color w:val="auto"/>
          <w:kern w:val="0"/>
          <w:highlight w:val="none"/>
        </w:rPr>
      </w:pPr>
    </w:p>
    <w:p w14:paraId="3B162A4F">
      <w:pPr>
        <w:autoSpaceDE w:val="0"/>
        <w:autoSpaceDN w:val="0"/>
        <w:adjustRightInd w:val="0"/>
        <w:snapToGrid w:val="0"/>
        <w:spacing w:line="360" w:lineRule="auto"/>
        <w:jc w:val="left"/>
        <w:rPr>
          <w:rFonts w:ascii="宋体" w:hAnsi="宋体"/>
          <w:color w:val="auto"/>
          <w:kern w:val="0"/>
          <w:highlight w:val="none"/>
        </w:rPr>
      </w:pPr>
    </w:p>
    <w:p w14:paraId="5FB6D199">
      <w:pPr>
        <w:autoSpaceDE w:val="0"/>
        <w:autoSpaceDN w:val="0"/>
        <w:adjustRightInd w:val="0"/>
        <w:snapToGrid w:val="0"/>
        <w:spacing w:line="360" w:lineRule="auto"/>
        <w:jc w:val="left"/>
        <w:rPr>
          <w:rFonts w:ascii="宋体" w:hAnsi="宋体"/>
          <w:color w:val="auto"/>
          <w:kern w:val="0"/>
          <w:highlight w:val="none"/>
        </w:rPr>
      </w:pPr>
    </w:p>
    <w:p w14:paraId="29760F7B">
      <w:pPr>
        <w:autoSpaceDE w:val="0"/>
        <w:autoSpaceDN w:val="0"/>
        <w:adjustRightInd w:val="0"/>
        <w:snapToGrid w:val="0"/>
        <w:spacing w:line="360" w:lineRule="auto"/>
        <w:jc w:val="left"/>
        <w:rPr>
          <w:rFonts w:ascii="宋体" w:hAnsi="宋体"/>
          <w:color w:val="auto"/>
          <w:kern w:val="0"/>
          <w:highlight w:val="none"/>
        </w:rPr>
      </w:pPr>
    </w:p>
    <w:p w14:paraId="4566B295">
      <w:pPr>
        <w:autoSpaceDE w:val="0"/>
        <w:autoSpaceDN w:val="0"/>
        <w:adjustRightInd w:val="0"/>
        <w:snapToGrid w:val="0"/>
        <w:spacing w:line="360" w:lineRule="auto"/>
        <w:jc w:val="left"/>
        <w:rPr>
          <w:rFonts w:ascii="宋体" w:hAnsi="宋体"/>
          <w:color w:val="auto"/>
          <w:kern w:val="0"/>
          <w:highlight w:val="none"/>
        </w:rPr>
      </w:pPr>
    </w:p>
    <w:p w14:paraId="254E171E">
      <w:pPr>
        <w:autoSpaceDE w:val="0"/>
        <w:autoSpaceDN w:val="0"/>
        <w:adjustRightInd w:val="0"/>
        <w:snapToGrid w:val="0"/>
        <w:spacing w:line="360" w:lineRule="auto"/>
        <w:jc w:val="left"/>
        <w:rPr>
          <w:rFonts w:ascii="宋体" w:hAnsi="宋体"/>
          <w:color w:val="auto"/>
          <w:w w:val="99"/>
          <w:kern w:val="0"/>
          <w:sz w:val="28"/>
          <w:szCs w:val="28"/>
          <w:highlight w:val="none"/>
        </w:rPr>
      </w:pPr>
    </w:p>
    <w:p w14:paraId="40DAE3B9">
      <w:pPr>
        <w:autoSpaceDE w:val="0"/>
        <w:autoSpaceDN w:val="0"/>
        <w:adjustRightInd w:val="0"/>
        <w:snapToGrid w:val="0"/>
        <w:spacing w:line="360" w:lineRule="auto"/>
        <w:jc w:val="left"/>
        <w:rPr>
          <w:rFonts w:ascii="宋体" w:hAnsi="宋体"/>
          <w:color w:val="auto"/>
          <w:w w:val="99"/>
          <w:kern w:val="0"/>
          <w:sz w:val="28"/>
          <w:szCs w:val="28"/>
          <w:highlight w:val="none"/>
        </w:rPr>
      </w:pPr>
    </w:p>
    <w:p w14:paraId="2D567643">
      <w:pPr>
        <w:autoSpaceDE w:val="0"/>
        <w:autoSpaceDN w:val="0"/>
        <w:adjustRightInd w:val="0"/>
        <w:snapToGrid w:val="0"/>
        <w:spacing w:line="360" w:lineRule="auto"/>
        <w:jc w:val="left"/>
        <w:rPr>
          <w:rFonts w:ascii="宋体" w:hAnsi="宋体"/>
          <w:color w:val="auto"/>
          <w:w w:val="99"/>
          <w:kern w:val="0"/>
          <w:sz w:val="28"/>
          <w:szCs w:val="28"/>
          <w:highlight w:val="none"/>
        </w:rPr>
      </w:pPr>
    </w:p>
    <w:p w14:paraId="5C1A7510">
      <w:pPr>
        <w:autoSpaceDE w:val="0"/>
        <w:autoSpaceDN w:val="0"/>
        <w:adjustRightInd w:val="0"/>
        <w:snapToGrid w:val="0"/>
        <w:spacing w:line="360" w:lineRule="auto"/>
        <w:jc w:val="left"/>
        <w:rPr>
          <w:rFonts w:ascii="宋体" w:hAnsi="宋体"/>
          <w:color w:val="auto"/>
          <w:w w:val="99"/>
          <w:kern w:val="0"/>
          <w:sz w:val="28"/>
          <w:szCs w:val="28"/>
          <w:highlight w:val="none"/>
        </w:rPr>
      </w:pPr>
    </w:p>
    <w:p w14:paraId="3C85A2C9">
      <w:pPr>
        <w:snapToGrid w:val="0"/>
        <w:spacing w:line="360" w:lineRule="auto"/>
        <w:jc w:val="center"/>
        <w:outlineLvl w:val="2"/>
        <w:rPr>
          <w:rFonts w:hint="eastAsia" w:ascii="宋体" w:hAnsi="宋体"/>
          <w:b/>
          <w:color w:val="auto"/>
          <w:highlight w:val="none"/>
        </w:rPr>
      </w:pPr>
      <w:bookmarkStart w:id="30" w:name="_Toc534185831"/>
      <w:bookmarkStart w:id="31" w:name="_Toc224103495"/>
      <w:bookmarkStart w:id="32" w:name="_Toc287607867"/>
      <w:bookmarkStart w:id="33" w:name="_Toc509218854"/>
      <w:bookmarkStart w:id="34" w:name="_Toc430530530"/>
      <w:bookmarkStart w:id="35" w:name="_Toc287620814"/>
      <w:bookmarkStart w:id="36" w:name="_Toc277082643"/>
      <w:r>
        <w:rPr>
          <w:rFonts w:ascii="宋体" w:hAnsi="宋体"/>
          <w:color w:val="auto"/>
          <w:highlight w:val="none"/>
        </w:rPr>
        <w:br w:type="page"/>
      </w:r>
      <w:bookmarkEnd w:id="30"/>
      <w:bookmarkEnd w:id="31"/>
      <w:bookmarkEnd w:id="32"/>
      <w:bookmarkEnd w:id="33"/>
      <w:bookmarkEnd w:id="34"/>
      <w:bookmarkEnd w:id="35"/>
      <w:bookmarkEnd w:id="36"/>
      <w:bookmarkStart w:id="37" w:name="_Toc14234"/>
      <w:bookmarkStart w:id="38" w:name="_Toc29416"/>
      <w:r>
        <w:rPr>
          <w:rFonts w:hint="eastAsia" w:ascii="宋体" w:hAnsi="宋体"/>
          <w:b/>
          <w:bCs/>
          <w:snapToGrid w:val="0"/>
          <w:color w:val="auto"/>
          <w:kern w:val="0"/>
          <w:sz w:val="28"/>
          <w:szCs w:val="28"/>
          <w:highlight w:val="none"/>
        </w:rPr>
        <w:t>1.</w:t>
      </w:r>
      <w:bookmarkEnd w:id="37"/>
      <w:bookmarkEnd w:id="38"/>
      <w:r>
        <w:rPr>
          <w:rFonts w:hint="eastAsia" w:ascii="宋体" w:hAnsi="宋体"/>
          <w:b/>
          <w:bCs/>
          <w:snapToGrid w:val="0"/>
          <w:color w:val="auto"/>
          <w:kern w:val="0"/>
          <w:sz w:val="28"/>
          <w:szCs w:val="28"/>
          <w:highlight w:val="none"/>
        </w:rPr>
        <w:t>竞选函</w:t>
      </w:r>
    </w:p>
    <w:p w14:paraId="184A4748">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39" w:name="_Toc15801"/>
      <w:bookmarkStart w:id="40" w:name="_Toc22723"/>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1EF53C1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color w:val="auto"/>
          <w:szCs w:val="21"/>
          <w:highlight w:val="none"/>
        </w:rPr>
        <w:t>我方愿</w:t>
      </w:r>
      <w:r>
        <w:rPr>
          <w:rFonts w:hint="eastAsia"/>
          <w:b w:val="0"/>
          <w:bCs w:val="0"/>
          <w:color w:val="auto"/>
          <w:highlight w:val="none"/>
        </w:rPr>
        <w:t>以</w:t>
      </w:r>
      <w:r>
        <w:rPr>
          <w:rFonts w:hint="eastAsia" w:ascii="宋体" w:hAnsi="宋体" w:eastAsia="宋体" w:cs="宋体"/>
          <w:snapToGrid w:val="0"/>
          <w:color w:val="auto"/>
          <w:kern w:val="0"/>
          <w:szCs w:val="21"/>
          <w:highlight w:val="none"/>
        </w:rPr>
        <w:t>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作为竞选</w:t>
      </w:r>
      <w:r>
        <w:rPr>
          <w:rFonts w:hint="eastAsia" w:ascii="宋体" w:hAnsi="宋体" w:eastAsia="宋体" w:cs="宋体"/>
          <w:snapToGrid w:val="0"/>
          <w:color w:val="auto"/>
          <w:kern w:val="0"/>
          <w:szCs w:val="21"/>
          <w:highlight w:val="none"/>
        </w:rPr>
        <w:t>总报价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其中</w:t>
      </w:r>
      <w:r>
        <w:rPr>
          <w:rFonts w:hint="eastAsia" w:ascii="宋体" w:hAnsi="宋体" w:eastAsia="宋体" w:cs="宋体"/>
          <w:snapToGrid w:val="0"/>
          <w:color w:val="auto"/>
          <w:kern w:val="0"/>
          <w:szCs w:val="21"/>
          <w:highlight w:val="none"/>
          <w:lang w:val="en-US" w:eastAsia="zh-CN"/>
        </w:rPr>
        <w:t>安全文明施工费</w:t>
      </w:r>
      <w:r>
        <w:rPr>
          <w:rFonts w:hint="eastAsia" w:ascii="宋体" w:hAnsi="宋体" w:eastAsia="宋体" w:cs="宋体"/>
          <w:snapToGrid w:val="0"/>
          <w:color w:val="auto"/>
          <w:kern w:val="0"/>
          <w:szCs w:val="21"/>
          <w:highlight w:val="none"/>
        </w:rPr>
        <w:t>暂定金额为</w:t>
      </w:r>
      <w:r>
        <w:rPr>
          <w:rFonts w:ascii="宋体" w:hAnsi="宋体" w:eastAsia="宋体" w:cs="宋体"/>
          <w:color w:val="auto"/>
          <w:spacing w:val="-86"/>
          <w:sz w:val="19"/>
          <w:szCs w:val="19"/>
          <w:highlight w:val="none"/>
        </w:rPr>
        <w:t xml:space="preserve"> </w:t>
      </w:r>
      <w:r>
        <w:rPr>
          <w:rFonts w:ascii="宋体" w:hAnsi="宋体" w:eastAsia="宋体" w:cs="宋体"/>
          <w:color w:val="auto"/>
          <w:spacing w:val="9"/>
          <w:sz w:val="19"/>
          <w:szCs w:val="19"/>
          <w:highlight w:val="none"/>
          <w:u w:val="single" w:color="auto"/>
        </w:rPr>
        <w:t xml:space="preserve">  </w:t>
      </w:r>
      <w:r>
        <w:rPr>
          <w:color w:val="auto"/>
          <w:highlight w:val="none"/>
          <w:u w:val="single"/>
        </w:rPr>
        <w:t xml:space="preserve"> </w:t>
      </w:r>
      <w:r>
        <w:rPr>
          <w:rFonts w:ascii="宋体" w:hAnsi="宋体" w:eastAsia="宋体" w:cs="宋体"/>
          <w:color w:val="auto"/>
          <w:spacing w:val="-67"/>
          <w:sz w:val="19"/>
          <w:szCs w:val="19"/>
          <w:highlight w:val="non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14:paraId="460163D3">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14:paraId="6345896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07D0371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90DACE7">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Style w:val="32"/>
          <w:rFonts w:ascii="宋体" w:hAnsi="宋体"/>
          <w:color w:val="auto"/>
          <w:kern w:val="0"/>
          <w:szCs w:val="21"/>
          <w:highlight w:val="none"/>
        </w:rPr>
        <w:t>（1）我方承诺在收到中选通知书后，在中选通知书规定的期限</w:t>
      </w:r>
      <w:r>
        <w:rPr>
          <w:rStyle w:val="32"/>
          <w:rFonts w:hint="eastAsia" w:ascii="宋体" w:hAnsi="宋体"/>
          <w:color w:val="auto"/>
          <w:kern w:val="0"/>
          <w:szCs w:val="21"/>
          <w:highlight w:val="none"/>
        </w:rPr>
        <w:t>_</w:t>
      </w:r>
      <w:r>
        <w:rPr>
          <w:rStyle w:val="32"/>
          <w:rFonts w:ascii="宋体" w:hAnsi="宋体"/>
          <w:color w:val="auto"/>
          <w:kern w:val="0"/>
          <w:szCs w:val="21"/>
          <w:highlight w:val="none"/>
        </w:rPr>
        <w:t>内与你方签订合同。</w:t>
      </w:r>
    </w:p>
    <w:p w14:paraId="270854FB">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函附录属于合同文件的组成部分。</w:t>
      </w:r>
    </w:p>
    <w:p w14:paraId="7F394AC4">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（3）我方承诺按照比选文件规定向你方递交履约担保。</w:t>
      </w:r>
    </w:p>
    <w:p w14:paraId="4B948E32">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（4）我方承诺在合同约定的期限内完成并移交全部合同</w:t>
      </w:r>
      <w:r>
        <w:rPr>
          <w:rFonts w:hint="eastAsia" w:ascii="宋体" w:hAnsi="宋体"/>
          <w:snapToGrid w:val="0"/>
          <w:color w:val="auto"/>
          <w:kern w:val="0"/>
          <w:szCs w:val="21"/>
          <w:highlight w:val="none"/>
        </w:rPr>
        <w:t>服务</w:t>
      </w:r>
      <w:r>
        <w:rPr>
          <w:rFonts w:ascii="宋体" w:hAnsi="宋体"/>
          <w:snapToGrid w:val="0"/>
          <w:color w:val="auto"/>
          <w:kern w:val="0"/>
          <w:szCs w:val="21"/>
          <w:highlight w:val="none"/>
        </w:rPr>
        <w:t>。</w:t>
      </w:r>
    </w:p>
    <w:p w14:paraId="1878D6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87102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24EA444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B07866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38751E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w:t>
      </w:r>
      <w:r>
        <w:rPr>
          <w:rFonts w:hint="eastAsia" w:ascii="宋体" w:hAnsi="宋体"/>
          <w:snapToGrid w:val="0"/>
          <w:color w:val="auto"/>
          <w:kern w:val="0"/>
          <w:szCs w:val="21"/>
          <w:highlight w:val="none"/>
          <w:u w:val="single"/>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01D9E9F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7D6B95A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3FA47DA">
      <w:pPr>
        <w:pStyle w:val="8"/>
        <w:rPr>
          <w:color w:val="auto"/>
          <w:highlight w:val="none"/>
        </w:rPr>
      </w:pPr>
    </w:p>
    <w:p w14:paraId="42495DB1">
      <w:pPr>
        <w:pStyle w:val="9"/>
        <w:rPr>
          <w:color w:val="auto"/>
          <w:highlight w:val="none"/>
        </w:rPr>
      </w:pPr>
    </w:p>
    <w:p w14:paraId="1BE888C7">
      <w:pPr>
        <w:rPr>
          <w:color w:val="auto"/>
          <w:highlight w:val="none"/>
        </w:rPr>
      </w:pPr>
    </w:p>
    <w:p w14:paraId="208A2A20">
      <w:pPr>
        <w:pStyle w:val="8"/>
        <w:rPr>
          <w:color w:val="auto"/>
          <w:highlight w:val="none"/>
        </w:rPr>
      </w:pPr>
    </w:p>
    <w:p w14:paraId="353C0088">
      <w:pPr>
        <w:rPr>
          <w:color w:val="auto"/>
          <w:highlight w:val="none"/>
        </w:rPr>
        <w:sectPr>
          <w:footerReference r:id="rId14" w:type="first"/>
          <w:headerReference r:id="rId12" w:type="default"/>
          <w:footerReference r:id="rId13"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8"/>
        <w:rPr>
          <w:color w:val="auto"/>
          <w:highlight w:val="none"/>
        </w:rPr>
      </w:pPr>
    </w:p>
    <w:p w14:paraId="19888495">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39"/>
      <w:bookmarkEnd w:id="40"/>
    </w:p>
    <w:p w14:paraId="53819D59">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480BF8DF">
      <w:pPr>
        <w:spacing w:line="480" w:lineRule="auto"/>
        <w:jc w:val="center"/>
        <w:rPr>
          <w:rFonts w:ascii="宋体" w:hAnsi="宋体"/>
          <w:color w:val="auto"/>
          <w:highlight w:val="none"/>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2C0935A1">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B639FE8">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527BF1E1">
            <w:pPr>
              <w:spacing w:line="360" w:lineRule="auto"/>
              <w:jc w:val="center"/>
              <w:rPr>
                <w:rFonts w:hint="eastAsia" w:ascii="宋体" w:hAnsi="宋体" w:cs="宋体"/>
                <w:b/>
                <w:color w:val="auto"/>
                <w:szCs w:val="21"/>
                <w:highlight w:val="none"/>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616365B">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068C5AA3">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512EE571">
      <w:pPr>
        <w:autoSpaceDE w:val="0"/>
        <w:autoSpaceDN w:val="0"/>
        <w:adjustRightInd w:val="0"/>
        <w:snapToGrid w:val="0"/>
        <w:spacing w:line="480" w:lineRule="auto"/>
        <w:jc w:val="left"/>
        <w:rPr>
          <w:rFonts w:ascii="宋体" w:hAnsi="宋体"/>
          <w:color w:val="auto"/>
          <w:kern w:val="0"/>
          <w:sz w:val="20"/>
          <w:szCs w:val="20"/>
          <w:highlight w:val="none"/>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577157A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527D46B4">
      <w:pPr>
        <w:autoSpaceDE w:val="0"/>
        <w:autoSpaceDN w:val="0"/>
        <w:adjustRightInd w:val="0"/>
        <w:snapToGrid w:val="0"/>
        <w:spacing w:line="480" w:lineRule="auto"/>
        <w:jc w:val="left"/>
        <w:rPr>
          <w:rFonts w:ascii="宋体" w:hAnsi="宋体"/>
          <w:color w:val="auto"/>
          <w:kern w:val="0"/>
          <w:sz w:val="20"/>
          <w:szCs w:val="20"/>
          <w:highlight w:val="none"/>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20414D8">
      <w:pPr>
        <w:autoSpaceDE w:val="0"/>
        <w:autoSpaceDN w:val="0"/>
        <w:adjustRightInd w:val="0"/>
        <w:snapToGrid w:val="0"/>
        <w:spacing w:line="360" w:lineRule="auto"/>
        <w:jc w:val="left"/>
        <w:rPr>
          <w:rFonts w:ascii="宋体" w:hAnsi="宋体"/>
          <w:color w:val="auto"/>
          <w:kern w:val="0"/>
          <w:highlight w:val="none"/>
        </w:rPr>
      </w:pPr>
    </w:p>
    <w:p w14:paraId="1926A49E">
      <w:pPr>
        <w:autoSpaceDE w:val="0"/>
        <w:autoSpaceDN w:val="0"/>
        <w:adjustRightInd w:val="0"/>
        <w:snapToGrid w:val="0"/>
        <w:spacing w:line="360" w:lineRule="auto"/>
        <w:jc w:val="left"/>
        <w:rPr>
          <w:rFonts w:ascii="宋体" w:hAnsi="宋体"/>
          <w:color w:val="auto"/>
          <w:kern w:val="0"/>
          <w:highlight w:val="none"/>
        </w:rPr>
      </w:pPr>
    </w:p>
    <w:p w14:paraId="316A4B6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auto"/>
          <w:kern w:val="0"/>
          <w:highlight w:val="none"/>
        </w:rPr>
      </w:pPr>
    </w:p>
    <w:p w14:paraId="2C37E2AF">
      <w:pPr>
        <w:autoSpaceDE w:val="0"/>
        <w:autoSpaceDN w:val="0"/>
        <w:adjustRightInd w:val="0"/>
        <w:snapToGrid w:val="0"/>
        <w:spacing w:line="360" w:lineRule="auto"/>
        <w:jc w:val="left"/>
        <w:rPr>
          <w:rFonts w:ascii="宋体" w:hAnsi="宋体"/>
          <w:color w:val="auto"/>
          <w:kern w:val="0"/>
          <w:highlight w:val="none"/>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265EF6A">
      <w:pPr>
        <w:autoSpaceDE w:val="0"/>
        <w:autoSpaceDN w:val="0"/>
        <w:adjustRightInd w:val="0"/>
        <w:snapToGrid w:val="0"/>
        <w:spacing w:line="360" w:lineRule="auto"/>
        <w:jc w:val="left"/>
        <w:rPr>
          <w:rFonts w:ascii="宋体" w:hAnsi="宋体"/>
          <w:color w:val="auto"/>
          <w:kern w:val="0"/>
          <w:sz w:val="20"/>
          <w:szCs w:val="20"/>
          <w:highlight w:val="none"/>
        </w:rPr>
      </w:pPr>
    </w:p>
    <w:p w14:paraId="7088CA5C">
      <w:pPr>
        <w:autoSpaceDE w:val="0"/>
        <w:autoSpaceDN w:val="0"/>
        <w:adjustRightInd w:val="0"/>
        <w:snapToGrid w:val="0"/>
        <w:spacing w:line="360" w:lineRule="auto"/>
        <w:jc w:val="left"/>
        <w:rPr>
          <w:rFonts w:ascii="宋体" w:hAnsi="宋体"/>
          <w:color w:val="auto"/>
          <w:kern w:val="0"/>
          <w:sz w:val="20"/>
          <w:szCs w:val="20"/>
          <w:highlight w:val="none"/>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052647F1">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47E7137">
            <w:pPr>
              <w:spacing w:line="360" w:lineRule="auto"/>
              <w:jc w:val="center"/>
              <w:rPr>
                <w:rFonts w:hint="eastAsia" w:ascii="宋体" w:hAnsi="宋体" w:cs="宋体"/>
                <w:b/>
                <w:color w:val="auto"/>
                <w:szCs w:val="21"/>
                <w:highlight w:val="none"/>
              </w:rPr>
            </w:pPr>
          </w:p>
        </w:tc>
      </w:tr>
    </w:tbl>
    <w:p w14:paraId="1C1F3185">
      <w:pPr>
        <w:rPr>
          <w:vanish/>
          <w:color w:val="auto"/>
          <w:highlight w:val="none"/>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6F400836">
            <w:pPr>
              <w:spacing w:line="360" w:lineRule="auto"/>
              <w:jc w:val="center"/>
              <w:rPr>
                <w:rFonts w:hint="eastAsia" w:ascii="宋体" w:hAnsi="宋体" w:cs="宋体"/>
                <w:b/>
                <w:color w:val="auto"/>
                <w:szCs w:val="21"/>
                <w:highlight w:val="none"/>
              </w:rPr>
            </w:pPr>
          </w:p>
        </w:tc>
      </w:tr>
    </w:tbl>
    <w:p w14:paraId="07C56495">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5C9496A">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6EDFEC">
      <w:pPr>
        <w:rPr>
          <w:rFonts w:hint="eastAsia"/>
          <w:color w:val="auto"/>
          <w:sz w:val="36"/>
          <w:szCs w:val="44"/>
          <w:highlight w:val="none"/>
        </w:rPr>
      </w:pPr>
      <w:bookmarkStart w:id="41" w:name="_Toc287620829"/>
      <w:bookmarkStart w:id="42" w:name="_Toc14443"/>
      <w:bookmarkStart w:id="43" w:name="_Toc430530545"/>
      <w:bookmarkStart w:id="44" w:name="_Toc277082656"/>
      <w:bookmarkStart w:id="45" w:name="_Toc42269745"/>
      <w:bookmarkStart w:id="46" w:name="_Toc16263"/>
      <w:bookmarkStart w:id="47" w:name="_Toc224103510"/>
      <w:bookmarkStart w:id="48" w:name="_Toc32678"/>
      <w:bookmarkStart w:id="49" w:name="_Toc287607882"/>
    </w:p>
    <w:p w14:paraId="49A51CF4">
      <w:pPr>
        <w:jc w:val="center"/>
        <w:outlineLvl w:val="1"/>
        <w:rPr>
          <w:rFonts w:hint="eastAsia"/>
          <w:color w:val="auto"/>
          <w:sz w:val="36"/>
          <w:szCs w:val="44"/>
          <w:highlight w:val="none"/>
        </w:rPr>
      </w:pPr>
    </w:p>
    <w:p w14:paraId="75E746ED">
      <w:pPr>
        <w:jc w:val="center"/>
        <w:outlineLvl w:val="1"/>
        <w:rPr>
          <w:rFonts w:hint="eastAsia"/>
          <w:color w:val="auto"/>
          <w:sz w:val="36"/>
          <w:szCs w:val="44"/>
          <w:highlight w:val="none"/>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二</w:t>
      </w:r>
      <w:r>
        <w:rPr>
          <w:rFonts w:hint="eastAsia"/>
          <w:color w:val="auto"/>
          <w:sz w:val="36"/>
          <w:szCs w:val="44"/>
          <w:highlight w:val="none"/>
        </w:rPr>
        <w:t>、资格审查部分</w:t>
      </w:r>
      <w:r>
        <w:rPr>
          <w:rFonts w:hint="eastAsia"/>
          <w:color w:val="auto"/>
          <w:highlight w:val="none"/>
        </w:rPr>
        <w:br w:type="page"/>
      </w:r>
    </w:p>
    <w:p w14:paraId="787D725E">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6CEFC9BC">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07897758">
      <w:pPr>
        <w:autoSpaceDE w:val="0"/>
        <w:autoSpaceDN w:val="0"/>
        <w:adjustRightInd w:val="0"/>
        <w:snapToGrid w:val="0"/>
        <w:spacing w:line="360" w:lineRule="auto"/>
        <w:jc w:val="left"/>
        <w:rPr>
          <w:rFonts w:ascii="宋体" w:hAnsi="宋体"/>
          <w:b/>
          <w:color w:val="auto"/>
          <w:kern w:val="0"/>
          <w:sz w:val="20"/>
          <w:szCs w:val="20"/>
          <w:highlight w:val="none"/>
        </w:rPr>
      </w:pPr>
    </w:p>
    <w:p w14:paraId="02D3CF30">
      <w:pPr>
        <w:autoSpaceDE w:val="0"/>
        <w:autoSpaceDN w:val="0"/>
        <w:adjustRightInd w:val="0"/>
        <w:snapToGrid w:val="0"/>
        <w:spacing w:line="360" w:lineRule="auto"/>
        <w:jc w:val="left"/>
        <w:rPr>
          <w:rFonts w:ascii="宋体" w:hAnsi="宋体"/>
          <w:b/>
          <w:color w:val="auto"/>
          <w:kern w:val="0"/>
          <w:sz w:val="20"/>
          <w:szCs w:val="20"/>
          <w:highlight w:val="none"/>
        </w:rPr>
      </w:pPr>
    </w:p>
    <w:p w14:paraId="1AF77269">
      <w:pPr>
        <w:autoSpaceDE w:val="0"/>
        <w:autoSpaceDN w:val="0"/>
        <w:adjustRightInd w:val="0"/>
        <w:snapToGrid w:val="0"/>
        <w:spacing w:line="360" w:lineRule="auto"/>
        <w:jc w:val="left"/>
        <w:rPr>
          <w:rFonts w:ascii="宋体" w:hAnsi="宋体"/>
          <w:b/>
          <w:color w:val="auto"/>
          <w:kern w:val="0"/>
          <w:sz w:val="20"/>
          <w:szCs w:val="20"/>
          <w:highlight w:val="none"/>
        </w:rPr>
      </w:pPr>
    </w:p>
    <w:p w14:paraId="5CDDD7BB">
      <w:pPr>
        <w:autoSpaceDE w:val="0"/>
        <w:autoSpaceDN w:val="0"/>
        <w:adjustRightInd w:val="0"/>
        <w:snapToGrid w:val="0"/>
        <w:spacing w:line="360" w:lineRule="auto"/>
        <w:jc w:val="left"/>
        <w:rPr>
          <w:rFonts w:ascii="宋体" w:hAnsi="宋体"/>
          <w:b/>
          <w:color w:val="auto"/>
          <w:kern w:val="0"/>
          <w:sz w:val="20"/>
          <w:szCs w:val="20"/>
          <w:highlight w:val="none"/>
        </w:rPr>
      </w:pPr>
    </w:p>
    <w:p w14:paraId="4927506F">
      <w:pPr>
        <w:autoSpaceDE w:val="0"/>
        <w:autoSpaceDN w:val="0"/>
        <w:adjustRightInd w:val="0"/>
        <w:snapToGrid w:val="0"/>
        <w:spacing w:line="360" w:lineRule="auto"/>
        <w:jc w:val="left"/>
        <w:rPr>
          <w:rFonts w:ascii="宋体" w:hAnsi="宋体"/>
          <w:b/>
          <w:color w:val="auto"/>
          <w:kern w:val="0"/>
          <w:sz w:val="20"/>
          <w:szCs w:val="20"/>
          <w:highlight w:val="none"/>
        </w:rPr>
      </w:pPr>
    </w:p>
    <w:p w14:paraId="1338EEEB">
      <w:pPr>
        <w:autoSpaceDE w:val="0"/>
        <w:autoSpaceDN w:val="0"/>
        <w:adjustRightInd w:val="0"/>
        <w:snapToGrid w:val="0"/>
        <w:spacing w:line="360" w:lineRule="auto"/>
        <w:jc w:val="left"/>
        <w:rPr>
          <w:rFonts w:ascii="宋体" w:hAnsi="宋体"/>
          <w:b/>
          <w:color w:val="auto"/>
          <w:kern w:val="0"/>
          <w:sz w:val="20"/>
          <w:szCs w:val="20"/>
          <w:highlight w:val="none"/>
        </w:rPr>
      </w:pPr>
    </w:p>
    <w:p w14:paraId="4F04AE1B">
      <w:pPr>
        <w:autoSpaceDE w:val="0"/>
        <w:autoSpaceDN w:val="0"/>
        <w:adjustRightInd w:val="0"/>
        <w:snapToGrid w:val="0"/>
        <w:spacing w:line="360" w:lineRule="auto"/>
        <w:jc w:val="left"/>
        <w:rPr>
          <w:rFonts w:ascii="宋体" w:hAnsi="宋体"/>
          <w:b/>
          <w:color w:val="auto"/>
          <w:kern w:val="0"/>
          <w:sz w:val="20"/>
          <w:szCs w:val="20"/>
          <w:highlight w:val="none"/>
        </w:rPr>
      </w:pPr>
    </w:p>
    <w:p w14:paraId="6E649F5F">
      <w:pPr>
        <w:autoSpaceDE w:val="0"/>
        <w:autoSpaceDN w:val="0"/>
        <w:adjustRightInd w:val="0"/>
        <w:snapToGrid w:val="0"/>
        <w:spacing w:line="360" w:lineRule="auto"/>
        <w:jc w:val="left"/>
        <w:rPr>
          <w:rFonts w:ascii="宋体" w:hAnsi="宋体"/>
          <w:b/>
          <w:color w:val="auto"/>
          <w:kern w:val="0"/>
          <w:sz w:val="20"/>
          <w:szCs w:val="20"/>
          <w:highlight w:val="none"/>
        </w:rPr>
      </w:pPr>
    </w:p>
    <w:p w14:paraId="6D5B9F79">
      <w:pPr>
        <w:autoSpaceDE w:val="0"/>
        <w:autoSpaceDN w:val="0"/>
        <w:adjustRightInd w:val="0"/>
        <w:snapToGrid w:val="0"/>
        <w:spacing w:line="360" w:lineRule="auto"/>
        <w:jc w:val="left"/>
        <w:rPr>
          <w:rFonts w:ascii="宋体" w:hAnsi="宋体"/>
          <w:b/>
          <w:color w:val="auto"/>
          <w:kern w:val="0"/>
          <w:sz w:val="20"/>
          <w:szCs w:val="20"/>
          <w:highlight w:val="none"/>
        </w:rPr>
      </w:pPr>
    </w:p>
    <w:p w14:paraId="3EE65979">
      <w:pPr>
        <w:autoSpaceDE w:val="0"/>
        <w:autoSpaceDN w:val="0"/>
        <w:adjustRightInd w:val="0"/>
        <w:snapToGrid w:val="0"/>
        <w:spacing w:line="360" w:lineRule="auto"/>
        <w:jc w:val="left"/>
        <w:rPr>
          <w:rFonts w:ascii="宋体" w:hAnsi="宋体"/>
          <w:b/>
          <w:color w:val="auto"/>
          <w:kern w:val="0"/>
          <w:sz w:val="20"/>
          <w:szCs w:val="20"/>
          <w:highlight w:val="none"/>
        </w:rPr>
      </w:pPr>
    </w:p>
    <w:p w14:paraId="36E44E97">
      <w:pPr>
        <w:autoSpaceDE w:val="0"/>
        <w:autoSpaceDN w:val="0"/>
        <w:adjustRightInd w:val="0"/>
        <w:snapToGrid w:val="0"/>
        <w:spacing w:line="360" w:lineRule="auto"/>
        <w:jc w:val="left"/>
        <w:rPr>
          <w:rFonts w:ascii="宋体" w:hAnsi="宋体"/>
          <w:b/>
          <w:color w:val="auto"/>
          <w:kern w:val="0"/>
          <w:sz w:val="20"/>
          <w:szCs w:val="20"/>
          <w:highlight w:val="none"/>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4796DD5">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1"/>
      <w:bookmarkEnd w:id="42"/>
      <w:bookmarkEnd w:id="43"/>
      <w:bookmarkEnd w:id="44"/>
      <w:bookmarkEnd w:id="45"/>
      <w:bookmarkEnd w:id="46"/>
      <w:bookmarkEnd w:id="47"/>
      <w:bookmarkEnd w:id="48"/>
      <w:bookmarkEnd w:id="49"/>
    </w:p>
    <w:p w14:paraId="15573024">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478B11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14:paraId="188C0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14:paraId="5056C9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14:paraId="2EA213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14:paraId="740B7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14:paraId="2F07BBC6">
      <w:pPr>
        <w:pStyle w:val="8"/>
        <w:ind w:firstLine="420" w:firstLineChars="200"/>
        <w:rPr>
          <w:color w:val="auto"/>
          <w:highlight w:val="none"/>
        </w:rPr>
      </w:pPr>
      <w:r>
        <w:rPr>
          <w:rFonts w:hint="eastAsia" w:ascii="宋体" w:hAnsi="宋体" w:eastAsia="宋体" w:cs="Times New Roman"/>
          <w:color w:val="auto"/>
          <w:kern w:val="2"/>
          <w:sz w:val="21"/>
          <w:szCs w:val="21"/>
          <w:highlight w:val="none"/>
          <w:lang w:val="en-US" w:eastAsia="zh-CN" w:bidi="ar-SA"/>
        </w:rPr>
        <w:t>6.资格预审证明文件</w:t>
      </w:r>
      <w:r>
        <w:rPr>
          <w:color w:val="auto"/>
          <w:highlight w:val="none"/>
        </w:rPr>
        <w:br w:type="page"/>
      </w:r>
    </w:p>
    <w:p w14:paraId="7F29B747">
      <w:pPr>
        <w:spacing w:after="260"/>
        <w:jc w:val="center"/>
        <w:outlineLvl w:val="2"/>
        <w:rPr>
          <w:rFonts w:ascii="宋体" w:hAnsi="宋体"/>
          <w:snapToGrid w:val="0"/>
          <w:color w:val="auto"/>
          <w:kern w:val="0"/>
          <w:szCs w:val="21"/>
          <w:highlight w:val="none"/>
        </w:rPr>
      </w:pPr>
      <w:bookmarkStart w:id="50" w:name="_Toc12182"/>
      <w:bookmarkStart w:id="51" w:name="_Toc18837"/>
      <w:bookmarkStart w:id="52" w:name="_Toc42269747"/>
      <w:bookmarkStart w:id="53" w:name="_Toc23302"/>
      <w:bookmarkStart w:id="54" w:name="_Toc287607887"/>
      <w:bookmarkStart w:id="55" w:name="_Toc277082659"/>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524DF66D">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63DA987B">
      <w:pPr>
        <w:spacing w:line="480" w:lineRule="auto"/>
        <w:jc w:val="center"/>
        <w:rPr>
          <w:rFonts w:ascii="宋体" w:hAnsi="宋体"/>
          <w:color w:val="auto"/>
          <w:highlight w:val="none"/>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0F74031E">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E0EB673">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CDE7073">
            <w:pPr>
              <w:spacing w:line="360" w:lineRule="auto"/>
              <w:jc w:val="center"/>
              <w:rPr>
                <w:rFonts w:hint="eastAsia" w:ascii="宋体" w:hAnsi="宋体" w:cs="宋体"/>
                <w:b/>
                <w:color w:val="auto"/>
                <w:szCs w:val="21"/>
                <w:highlight w:val="none"/>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5A466DD">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65425288">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3D977CB8">
      <w:pPr>
        <w:autoSpaceDE w:val="0"/>
        <w:autoSpaceDN w:val="0"/>
        <w:adjustRightInd w:val="0"/>
        <w:snapToGrid w:val="0"/>
        <w:spacing w:line="480" w:lineRule="auto"/>
        <w:jc w:val="left"/>
        <w:rPr>
          <w:rFonts w:ascii="宋体" w:hAnsi="宋体"/>
          <w:color w:val="auto"/>
          <w:kern w:val="0"/>
          <w:sz w:val="20"/>
          <w:szCs w:val="20"/>
          <w:highlight w:val="none"/>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66F581F6">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1BC99279">
      <w:pPr>
        <w:autoSpaceDE w:val="0"/>
        <w:autoSpaceDN w:val="0"/>
        <w:adjustRightInd w:val="0"/>
        <w:snapToGrid w:val="0"/>
        <w:spacing w:line="480" w:lineRule="auto"/>
        <w:jc w:val="left"/>
        <w:rPr>
          <w:rFonts w:ascii="宋体" w:hAnsi="宋体"/>
          <w:color w:val="auto"/>
          <w:kern w:val="0"/>
          <w:sz w:val="20"/>
          <w:szCs w:val="20"/>
          <w:highlight w:val="none"/>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06BAEA3">
      <w:pPr>
        <w:autoSpaceDE w:val="0"/>
        <w:autoSpaceDN w:val="0"/>
        <w:adjustRightInd w:val="0"/>
        <w:snapToGrid w:val="0"/>
        <w:spacing w:line="360" w:lineRule="auto"/>
        <w:jc w:val="left"/>
        <w:rPr>
          <w:rFonts w:ascii="宋体" w:hAnsi="宋体"/>
          <w:color w:val="auto"/>
          <w:kern w:val="0"/>
          <w:highlight w:val="none"/>
        </w:rPr>
      </w:pPr>
    </w:p>
    <w:p w14:paraId="63D47213">
      <w:pPr>
        <w:autoSpaceDE w:val="0"/>
        <w:autoSpaceDN w:val="0"/>
        <w:adjustRightInd w:val="0"/>
        <w:snapToGrid w:val="0"/>
        <w:spacing w:line="360" w:lineRule="auto"/>
        <w:jc w:val="left"/>
        <w:rPr>
          <w:rFonts w:ascii="宋体" w:hAnsi="宋体"/>
          <w:color w:val="auto"/>
          <w:kern w:val="0"/>
          <w:highlight w:val="none"/>
        </w:rPr>
      </w:pPr>
    </w:p>
    <w:p w14:paraId="5A00C227">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auto"/>
          <w:kern w:val="0"/>
          <w:highlight w:val="none"/>
        </w:rPr>
      </w:pPr>
    </w:p>
    <w:p w14:paraId="2F5881A8">
      <w:pPr>
        <w:autoSpaceDE w:val="0"/>
        <w:autoSpaceDN w:val="0"/>
        <w:adjustRightInd w:val="0"/>
        <w:snapToGrid w:val="0"/>
        <w:spacing w:line="360" w:lineRule="auto"/>
        <w:jc w:val="left"/>
        <w:rPr>
          <w:rFonts w:ascii="宋体" w:hAnsi="宋体"/>
          <w:color w:val="auto"/>
          <w:kern w:val="0"/>
          <w:highlight w:val="none"/>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91F8335">
      <w:pPr>
        <w:autoSpaceDE w:val="0"/>
        <w:autoSpaceDN w:val="0"/>
        <w:adjustRightInd w:val="0"/>
        <w:snapToGrid w:val="0"/>
        <w:spacing w:line="360" w:lineRule="auto"/>
        <w:jc w:val="left"/>
        <w:rPr>
          <w:rFonts w:ascii="宋体" w:hAnsi="宋体"/>
          <w:color w:val="auto"/>
          <w:kern w:val="0"/>
          <w:sz w:val="20"/>
          <w:szCs w:val="20"/>
          <w:highlight w:val="none"/>
        </w:rPr>
      </w:pPr>
    </w:p>
    <w:p w14:paraId="2C721A3E">
      <w:pPr>
        <w:autoSpaceDE w:val="0"/>
        <w:autoSpaceDN w:val="0"/>
        <w:adjustRightInd w:val="0"/>
        <w:snapToGrid w:val="0"/>
        <w:spacing w:line="360" w:lineRule="auto"/>
        <w:jc w:val="left"/>
        <w:rPr>
          <w:rFonts w:ascii="宋体" w:hAnsi="宋体"/>
          <w:color w:val="auto"/>
          <w:kern w:val="0"/>
          <w:sz w:val="20"/>
          <w:szCs w:val="20"/>
          <w:highlight w:val="none"/>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68E8540C">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6F159285">
            <w:pPr>
              <w:spacing w:line="360" w:lineRule="auto"/>
              <w:jc w:val="center"/>
              <w:rPr>
                <w:rFonts w:hint="eastAsia" w:ascii="宋体" w:hAnsi="宋体" w:cs="宋体"/>
                <w:b/>
                <w:color w:val="auto"/>
                <w:szCs w:val="21"/>
                <w:highlight w:val="none"/>
              </w:rPr>
            </w:pPr>
          </w:p>
        </w:tc>
      </w:tr>
    </w:tbl>
    <w:p w14:paraId="371E96D0">
      <w:pPr>
        <w:rPr>
          <w:vanish/>
          <w:color w:val="auto"/>
          <w:highlight w:val="none"/>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55AC0D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2FF7530D">
            <w:pPr>
              <w:spacing w:line="360" w:lineRule="auto"/>
              <w:jc w:val="center"/>
              <w:rPr>
                <w:rFonts w:hint="eastAsia" w:ascii="宋体" w:hAnsi="宋体" w:cs="宋体"/>
                <w:b/>
                <w:color w:val="auto"/>
                <w:szCs w:val="21"/>
                <w:highlight w:val="none"/>
              </w:rPr>
            </w:pPr>
          </w:p>
        </w:tc>
      </w:tr>
    </w:tbl>
    <w:p w14:paraId="25E17BE4">
      <w:pPr>
        <w:autoSpaceDE w:val="0"/>
        <w:autoSpaceDN w:val="0"/>
        <w:adjustRightInd w:val="0"/>
        <w:snapToGrid w:val="0"/>
        <w:spacing w:line="480" w:lineRule="auto"/>
        <w:jc w:val="left"/>
        <w:rPr>
          <w:rFonts w:hint="eastAsia" w:ascii="宋体" w:hAnsi="宋体"/>
          <w:color w:val="auto"/>
          <w:kern w:val="0"/>
          <w:sz w:val="20"/>
          <w:szCs w:val="20"/>
          <w:highlight w:val="none"/>
        </w:rPr>
      </w:pPr>
    </w:p>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010C4DB">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00164064">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849D07">
      <w:pPr>
        <w:pStyle w:val="4"/>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0"/>
      <w:bookmarkEnd w:id="51"/>
      <w:bookmarkEnd w:id="52"/>
      <w:bookmarkEnd w:id="53"/>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auto"/>
                <w:kern w:val="0"/>
                <w:szCs w:val="21"/>
                <w:highlight w:val="none"/>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201602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auto"/>
                <w:kern w:val="0"/>
                <w:szCs w:val="21"/>
                <w:highlight w:val="none"/>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03C0C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01EA93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auto"/>
                <w:kern w:val="0"/>
                <w:szCs w:val="21"/>
                <w:highlight w:val="none"/>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84BD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auto"/>
                <w:kern w:val="0"/>
                <w:szCs w:val="21"/>
                <w:highlight w:val="none"/>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auto"/>
                <w:kern w:val="0"/>
                <w:szCs w:val="21"/>
                <w:highlight w:val="none"/>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446F80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04820A9D">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285F7F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150778E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4099CF2B">
            <w:pPr>
              <w:autoSpaceDE w:val="0"/>
              <w:autoSpaceDN w:val="0"/>
              <w:adjustRightInd w:val="0"/>
              <w:snapToGrid w:val="0"/>
              <w:jc w:val="center"/>
              <w:rPr>
                <w:rFonts w:ascii="宋体" w:hAnsi="宋体"/>
                <w:color w:val="auto"/>
                <w:kern w:val="0"/>
                <w:szCs w:val="21"/>
                <w:highlight w:val="none"/>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7F5F2D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34E8FC6C">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1A2B35B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25FCBA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575B82D">
            <w:pPr>
              <w:autoSpaceDE w:val="0"/>
              <w:autoSpaceDN w:val="0"/>
              <w:adjustRightInd w:val="0"/>
              <w:snapToGrid w:val="0"/>
              <w:jc w:val="center"/>
              <w:rPr>
                <w:rFonts w:ascii="宋体" w:hAnsi="宋体"/>
                <w:color w:val="auto"/>
                <w:kern w:val="0"/>
                <w:szCs w:val="21"/>
                <w:highlight w:val="none"/>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49F4A7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17BEEE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auto"/>
                <w:kern w:val="0"/>
                <w:szCs w:val="21"/>
                <w:highlight w:val="none"/>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4FB6CC4F">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AE993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auto"/>
                <w:kern w:val="0"/>
                <w:szCs w:val="21"/>
                <w:highlight w:val="none"/>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3E429583">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D1287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auto"/>
                <w:kern w:val="0"/>
                <w:szCs w:val="21"/>
                <w:highlight w:val="none"/>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59047AC9">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3B52503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auto"/>
                <w:kern w:val="0"/>
                <w:szCs w:val="21"/>
                <w:highlight w:val="none"/>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6C6A3A3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auto"/>
                <w:kern w:val="0"/>
                <w:szCs w:val="21"/>
                <w:highlight w:val="none"/>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auto"/>
                <w:kern w:val="0"/>
                <w:szCs w:val="21"/>
                <w:highlight w:val="none"/>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auto"/>
                <w:kern w:val="0"/>
                <w:szCs w:val="21"/>
                <w:highlight w:val="none"/>
              </w:rPr>
            </w:pPr>
          </w:p>
        </w:tc>
      </w:tr>
    </w:tbl>
    <w:p w14:paraId="2B10E643">
      <w:pPr>
        <w:pStyle w:val="4"/>
        <w:spacing w:before="0"/>
        <w:jc w:val="center"/>
        <w:rPr>
          <w:rFonts w:ascii="宋体" w:hAnsi="宋体"/>
          <w:b w:val="0"/>
          <w:color w:val="auto"/>
          <w:highlight w:val="none"/>
        </w:rPr>
      </w:pPr>
      <w:r>
        <w:rPr>
          <w:rFonts w:ascii="宋体" w:hAnsi="宋体"/>
          <w:color w:val="auto"/>
          <w:szCs w:val="21"/>
          <w:highlight w:val="none"/>
        </w:rPr>
        <w:br w:type="page"/>
      </w:r>
      <w:bookmarkStart w:id="56" w:name="_Toc509218863"/>
      <w:bookmarkStart w:id="57" w:name="_Toc6724"/>
      <w:bookmarkStart w:id="58" w:name="_Toc9965"/>
      <w:bookmarkStart w:id="59" w:name="_Toc534185840"/>
      <w:bookmarkStart w:id="60" w:name="_Toc16068"/>
      <w:bookmarkStart w:id="61" w:name="_Toc42269748"/>
      <w:r>
        <w:rPr>
          <w:rFonts w:hint="eastAsia" w:ascii="宋体" w:hAnsi="宋体" w:eastAsia="宋体"/>
          <w:bCs/>
          <w:color w:val="auto"/>
          <w:kern w:val="2"/>
          <w:sz w:val="32"/>
          <w:szCs w:val="32"/>
          <w:highlight w:val="none"/>
        </w:rPr>
        <w:t>3.项目管理机构</w:t>
      </w:r>
      <w:bookmarkEnd w:id="56"/>
      <w:bookmarkEnd w:id="57"/>
      <w:bookmarkEnd w:id="58"/>
      <w:bookmarkEnd w:id="59"/>
      <w:bookmarkEnd w:id="60"/>
      <w:bookmarkEnd w:id="61"/>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608C50D4">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0D176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0820F4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2FE1A2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59962D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61E6C1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64FF06FA">
            <w:pPr>
              <w:autoSpaceDE w:val="0"/>
              <w:autoSpaceDN w:val="0"/>
              <w:adjustRightInd w:val="0"/>
              <w:snapToGrid w:val="0"/>
              <w:jc w:val="left"/>
              <w:rPr>
                <w:rFonts w:ascii="宋体" w:hAnsi="宋体"/>
                <w:color w:val="auto"/>
                <w:kern w:val="0"/>
                <w:szCs w:val="21"/>
                <w:highlight w:val="none"/>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97A6497">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81646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D68EF5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D78330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D68CF6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977366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976EED6">
            <w:pPr>
              <w:autoSpaceDE w:val="0"/>
              <w:autoSpaceDN w:val="0"/>
              <w:adjustRightInd w:val="0"/>
              <w:snapToGrid w:val="0"/>
              <w:jc w:val="left"/>
              <w:rPr>
                <w:rFonts w:ascii="宋体" w:hAnsi="宋体"/>
                <w:color w:val="auto"/>
                <w:kern w:val="0"/>
                <w:szCs w:val="21"/>
                <w:highlight w:val="none"/>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2FEA43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AF042E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6F68C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238071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C0B7988">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2DABA1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0670EFE">
            <w:pPr>
              <w:autoSpaceDE w:val="0"/>
              <w:autoSpaceDN w:val="0"/>
              <w:adjustRightInd w:val="0"/>
              <w:snapToGrid w:val="0"/>
              <w:jc w:val="left"/>
              <w:rPr>
                <w:rFonts w:ascii="宋体" w:hAnsi="宋体"/>
                <w:color w:val="auto"/>
                <w:kern w:val="0"/>
                <w:szCs w:val="21"/>
                <w:highlight w:val="none"/>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A823586">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8A99EDF">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7736ADC">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7F712A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D55522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F1707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5109FD30">
            <w:pPr>
              <w:autoSpaceDE w:val="0"/>
              <w:autoSpaceDN w:val="0"/>
              <w:adjustRightInd w:val="0"/>
              <w:snapToGrid w:val="0"/>
              <w:jc w:val="left"/>
              <w:rPr>
                <w:rFonts w:ascii="宋体" w:hAnsi="宋体"/>
                <w:color w:val="auto"/>
                <w:kern w:val="0"/>
                <w:szCs w:val="21"/>
                <w:highlight w:val="none"/>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C30233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F6617F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2A0ABB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43A1C34">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4A23E0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EAB50E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A999535">
            <w:pPr>
              <w:autoSpaceDE w:val="0"/>
              <w:autoSpaceDN w:val="0"/>
              <w:adjustRightInd w:val="0"/>
              <w:snapToGrid w:val="0"/>
              <w:jc w:val="left"/>
              <w:rPr>
                <w:rFonts w:ascii="宋体" w:hAnsi="宋体"/>
                <w:color w:val="auto"/>
                <w:kern w:val="0"/>
                <w:szCs w:val="21"/>
                <w:highlight w:val="none"/>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31463AB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434F270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4C957907">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31B5C40">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EDD8D51">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E5409B4">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D7B6FF8">
            <w:pPr>
              <w:autoSpaceDE w:val="0"/>
              <w:autoSpaceDN w:val="0"/>
              <w:adjustRightInd w:val="0"/>
              <w:snapToGrid w:val="0"/>
              <w:jc w:val="left"/>
              <w:rPr>
                <w:rFonts w:ascii="宋体" w:hAnsi="宋体"/>
                <w:color w:val="auto"/>
                <w:kern w:val="0"/>
                <w:szCs w:val="21"/>
                <w:highlight w:val="none"/>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56AEE745">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71FB909">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D866F3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879FF23">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791FE4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4DF7E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0CE36E4">
            <w:pPr>
              <w:autoSpaceDE w:val="0"/>
              <w:autoSpaceDN w:val="0"/>
              <w:adjustRightInd w:val="0"/>
              <w:snapToGrid w:val="0"/>
              <w:jc w:val="left"/>
              <w:rPr>
                <w:rFonts w:ascii="宋体" w:hAnsi="宋体"/>
                <w:color w:val="auto"/>
                <w:kern w:val="0"/>
                <w:szCs w:val="21"/>
                <w:highlight w:val="none"/>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38EA14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8DF05ED">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CE4EC0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94A58A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05948EF">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B34515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233830C">
            <w:pPr>
              <w:autoSpaceDE w:val="0"/>
              <w:autoSpaceDN w:val="0"/>
              <w:adjustRightInd w:val="0"/>
              <w:snapToGrid w:val="0"/>
              <w:jc w:val="left"/>
              <w:rPr>
                <w:rFonts w:ascii="宋体" w:hAnsi="宋体"/>
                <w:color w:val="auto"/>
                <w:kern w:val="0"/>
                <w:szCs w:val="21"/>
                <w:highlight w:val="none"/>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70A6DDE">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4E99BA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083BF2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BD2F64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A8D4A2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030CD4C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2C3CA79">
            <w:pPr>
              <w:autoSpaceDE w:val="0"/>
              <w:autoSpaceDN w:val="0"/>
              <w:adjustRightInd w:val="0"/>
              <w:snapToGrid w:val="0"/>
              <w:jc w:val="left"/>
              <w:rPr>
                <w:rFonts w:ascii="宋体" w:hAnsi="宋体"/>
                <w:color w:val="auto"/>
                <w:kern w:val="0"/>
                <w:szCs w:val="21"/>
                <w:highlight w:val="none"/>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62B6A7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3119EB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E4C3BA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60C4E2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4C61D4A">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46BC4F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9644E82">
            <w:pPr>
              <w:autoSpaceDE w:val="0"/>
              <w:autoSpaceDN w:val="0"/>
              <w:adjustRightInd w:val="0"/>
              <w:snapToGrid w:val="0"/>
              <w:jc w:val="left"/>
              <w:rPr>
                <w:rFonts w:ascii="宋体" w:hAnsi="宋体"/>
                <w:color w:val="auto"/>
                <w:kern w:val="0"/>
                <w:szCs w:val="21"/>
                <w:highlight w:val="none"/>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0E39EE5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66C3F6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C30CB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A8513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BE2507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DBFB84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B4F8367">
            <w:pPr>
              <w:autoSpaceDE w:val="0"/>
              <w:autoSpaceDN w:val="0"/>
              <w:adjustRightInd w:val="0"/>
              <w:snapToGrid w:val="0"/>
              <w:jc w:val="left"/>
              <w:rPr>
                <w:rFonts w:ascii="宋体" w:hAnsi="宋体"/>
                <w:color w:val="auto"/>
                <w:kern w:val="0"/>
                <w:szCs w:val="21"/>
                <w:highlight w:val="none"/>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FBFE0C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6D3BB3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4D5BD81">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3A7B8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FF7DAD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6315F0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536223F">
            <w:pPr>
              <w:autoSpaceDE w:val="0"/>
              <w:autoSpaceDN w:val="0"/>
              <w:adjustRightInd w:val="0"/>
              <w:snapToGrid w:val="0"/>
              <w:jc w:val="left"/>
              <w:rPr>
                <w:rFonts w:ascii="宋体" w:hAnsi="宋体"/>
                <w:color w:val="auto"/>
                <w:kern w:val="0"/>
                <w:szCs w:val="21"/>
                <w:highlight w:val="none"/>
              </w:rPr>
            </w:pPr>
          </w:p>
        </w:tc>
      </w:tr>
    </w:tbl>
    <w:p w14:paraId="13B71560">
      <w:pPr>
        <w:spacing w:line="20" w:lineRule="exact"/>
        <w:jc w:val="center"/>
        <w:rPr>
          <w:rFonts w:ascii="宋体" w:hAnsi="宋体"/>
          <w:color w:val="auto"/>
          <w:szCs w:val="21"/>
          <w:highlight w:val="none"/>
        </w:rPr>
      </w:pPr>
    </w:p>
    <w:p w14:paraId="523AEC4C">
      <w:pPr>
        <w:spacing w:line="360" w:lineRule="auto"/>
        <w:ind w:firstLine="420" w:firstLineChars="200"/>
        <w:jc w:val="center"/>
        <w:rPr>
          <w:rFonts w:ascii="宋体" w:hAnsi="宋体"/>
          <w:color w:val="auto"/>
          <w:sz w:val="32"/>
          <w:szCs w:val="32"/>
          <w:highlight w:val="none"/>
        </w:rPr>
      </w:pPr>
      <w:bookmarkStart w:id="62"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C6DFD1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4A9C2435">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F5B21A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0EA7392F">
            <w:pPr>
              <w:autoSpaceDE w:val="0"/>
              <w:autoSpaceDN w:val="0"/>
              <w:adjustRightInd w:val="0"/>
              <w:snapToGrid w:val="0"/>
              <w:jc w:val="center"/>
              <w:rPr>
                <w:rFonts w:ascii="宋体" w:hAnsi="宋体"/>
                <w:color w:val="auto"/>
                <w:kern w:val="0"/>
                <w:szCs w:val="21"/>
                <w:highlight w:val="none"/>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ABEAA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2E318D79">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53CB0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auto"/>
                <w:kern w:val="0"/>
                <w:szCs w:val="21"/>
                <w:highlight w:val="none"/>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F670DD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9BA6CE5">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62FE17B">
            <w:pPr>
              <w:autoSpaceDE w:val="0"/>
              <w:autoSpaceDN w:val="0"/>
              <w:adjustRightInd w:val="0"/>
              <w:snapToGrid w:val="0"/>
              <w:jc w:val="center"/>
              <w:rPr>
                <w:rFonts w:ascii="宋体" w:hAnsi="宋体"/>
                <w:color w:val="auto"/>
                <w:kern w:val="0"/>
                <w:szCs w:val="21"/>
                <w:highlight w:val="none"/>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13215F9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996C6F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70CE8D3A">
            <w:pPr>
              <w:autoSpaceDE w:val="0"/>
              <w:autoSpaceDN w:val="0"/>
              <w:adjustRightInd w:val="0"/>
              <w:snapToGrid w:val="0"/>
              <w:jc w:val="center"/>
              <w:rPr>
                <w:rFonts w:ascii="宋体" w:hAnsi="宋体"/>
                <w:color w:val="auto"/>
                <w:kern w:val="0"/>
                <w:szCs w:val="21"/>
                <w:highlight w:val="none"/>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F85BF12">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0B2FD6E">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644E9A">
            <w:pPr>
              <w:autoSpaceDE w:val="0"/>
              <w:autoSpaceDN w:val="0"/>
              <w:adjustRightInd w:val="0"/>
              <w:snapToGrid w:val="0"/>
              <w:jc w:val="center"/>
              <w:rPr>
                <w:rFonts w:ascii="宋体" w:hAnsi="宋体"/>
                <w:color w:val="auto"/>
                <w:kern w:val="0"/>
                <w:szCs w:val="21"/>
                <w:highlight w:val="none"/>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64BCCFAE">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654D0C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80840F4">
            <w:pPr>
              <w:autoSpaceDE w:val="0"/>
              <w:autoSpaceDN w:val="0"/>
              <w:adjustRightInd w:val="0"/>
              <w:snapToGrid w:val="0"/>
              <w:jc w:val="center"/>
              <w:rPr>
                <w:rFonts w:ascii="宋体" w:hAnsi="宋体"/>
                <w:color w:val="auto"/>
                <w:kern w:val="0"/>
                <w:szCs w:val="21"/>
                <w:highlight w:val="none"/>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D9AB6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4022803">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6553843">
            <w:pPr>
              <w:autoSpaceDE w:val="0"/>
              <w:autoSpaceDN w:val="0"/>
              <w:adjustRightInd w:val="0"/>
              <w:snapToGrid w:val="0"/>
              <w:jc w:val="center"/>
              <w:rPr>
                <w:rFonts w:ascii="宋体" w:hAnsi="宋体"/>
                <w:color w:val="auto"/>
                <w:kern w:val="0"/>
                <w:szCs w:val="21"/>
                <w:highlight w:val="none"/>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0CBA39F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DB3881B">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640E659">
            <w:pPr>
              <w:autoSpaceDE w:val="0"/>
              <w:autoSpaceDN w:val="0"/>
              <w:adjustRightInd w:val="0"/>
              <w:snapToGrid w:val="0"/>
              <w:jc w:val="center"/>
              <w:rPr>
                <w:rFonts w:ascii="宋体" w:hAnsi="宋体"/>
                <w:color w:val="auto"/>
                <w:kern w:val="0"/>
                <w:szCs w:val="21"/>
                <w:highlight w:val="none"/>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50AC84">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5123B3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CC633FD">
            <w:pPr>
              <w:autoSpaceDE w:val="0"/>
              <w:autoSpaceDN w:val="0"/>
              <w:adjustRightInd w:val="0"/>
              <w:snapToGrid w:val="0"/>
              <w:jc w:val="center"/>
              <w:rPr>
                <w:rFonts w:ascii="宋体" w:hAnsi="宋体"/>
                <w:color w:val="auto"/>
                <w:kern w:val="0"/>
                <w:szCs w:val="21"/>
                <w:highlight w:val="none"/>
              </w:rPr>
            </w:pPr>
          </w:p>
        </w:tc>
      </w:tr>
    </w:tbl>
    <w:p w14:paraId="337F0B7A">
      <w:pPr>
        <w:rPr>
          <w:rFonts w:hint="eastAsia"/>
          <w:color w:val="auto"/>
          <w:highlight w:val="none"/>
        </w:rPr>
      </w:pPr>
    </w:p>
    <w:p w14:paraId="25CC9F62">
      <w:pPr>
        <w:pStyle w:val="4"/>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4"/>
      <w:bookmarkEnd w:id="55"/>
      <w:bookmarkStart w:id="63" w:name="_Toc534185843"/>
      <w:bookmarkStart w:id="64" w:name="_Toc486490338"/>
      <w:bookmarkStart w:id="65" w:name="_Toc42269749"/>
      <w:bookmarkStart w:id="66" w:name="_Toc509218866"/>
      <w:bookmarkStart w:id="67" w:name="_Toc501386307"/>
      <w:bookmarkStart w:id="68" w:name="_Toc3235"/>
      <w:bookmarkStart w:id="69" w:name="_Toc17377"/>
      <w:r>
        <w:rPr>
          <w:rFonts w:hint="eastAsia" w:ascii="宋体" w:hAnsi="宋体"/>
          <w:bCs/>
          <w:color w:val="auto"/>
          <w:sz w:val="32"/>
          <w:szCs w:val="36"/>
          <w:highlight w:val="none"/>
        </w:rPr>
        <w:t>4.比选截止日竞选人资格情况</w:t>
      </w:r>
    </w:p>
    <w:p w14:paraId="04EAB939">
      <w:pPr>
        <w:pStyle w:val="4"/>
        <w:spacing w:line="360" w:lineRule="auto"/>
        <w:jc w:val="center"/>
        <w:rPr>
          <w:rFonts w:ascii="宋体" w:hAnsi="宋体"/>
          <w:color w:val="auto"/>
          <w:highlight w:val="none"/>
        </w:rPr>
      </w:pPr>
    </w:p>
    <w:p w14:paraId="19842F0F">
      <w:pPr>
        <w:pStyle w:val="4"/>
        <w:spacing w:line="360" w:lineRule="auto"/>
        <w:jc w:val="center"/>
        <w:rPr>
          <w:rFonts w:hint="eastAsia" w:ascii="宋体" w:hAnsi="宋体"/>
          <w:color w:val="auto"/>
          <w:highlight w:val="none"/>
        </w:rPr>
      </w:pPr>
    </w:p>
    <w:p w14:paraId="33C4CA63">
      <w:pPr>
        <w:pStyle w:val="4"/>
        <w:spacing w:line="360" w:lineRule="auto"/>
        <w:jc w:val="center"/>
        <w:rPr>
          <w:rFonts w:hint="eastAsia" w:ascii="宋体" w:hAnsi="宋体"/>
          <w:color w:val="auto"/>
          <w:highlight w:val="none"/>
        </w:rPr>
      </w:pPr>
    </w:p>
    <w:p w14:paraId="3217937D">
      <w:pPr>
        <w:pStyle w:val="4"/>
        <w:spacing w:line="360" w:lineRule="auto"/>
        <w:jc w:val="center"/>
        <w:rPr>
          <w:rFonts w:hint="eastAsia" w:ascii="宋体" w:hAnsi="宋体"/>
          <w:color w:val="auto"/>
          <w:highlight w:val="none"/>
        </w:rPr>
      </w:pPr>
    </w:p>
    <w:p w14:paraId="21AC5176">
      <w:pPr>
        <w:pStyle w:val="4"/>
        <w:spacing w:line="360" w:lineRule="auto"/>
        <w:jc w:val="center"/>
        <w:rPr>
          <w:rFonts w:hint="eastAsia" w:ascii="宋体" w:hAnsi="宋体"/>
          <w:color w:val="auto"/>
          <w:highlight w:val="none"/>
        </w:rPr>
      </w:pPr>
    </w:p>
    <w:p w14:paraId="10778F49">
      <w:pPr>
        <w:pStyle w:val="4"/>
        <w:spacing w:line="360" w:lineRule="auto"/>
        <w:jc w:val="center"/>
        <w:rPr>
          <w:rFonts w:hint="eastAsia" w:ascii="宋体" w:hAnsi="宋体"/>
          <w:color w:val="auto"/>
          <w:highlight w:val="none"/>
        </w:rPr>
      </w:pPr>
    </w:p>
    <w:p w14:paraId="41FA36EE">
      <w:pPr>
        <w:pStyle w:val="4"/>
        <w:spacing w:line="360" w:lineRule="auto"/>
        <w:jc w:val="center"/>
        <w:rPr>
          <w:rFonts w:hint="eastAsia" w:ascii="宋体" w:hAnsi="宋体"/>
          <w:color w:val="auto"/>
          <w:highlight w:val="none"/>
        </w:rPr>
      </w:pPr>
    </w:p>
    <w:p w14:paraId="48261FFC">
      <w:pPr>
        <w:pStyle w:val="4"/>
        <w:spacing w:line="360" w:lineRule="auto"/>
        <w:jc w:val="center"/>
        <w:rPr>
          <w:rFonts w:hint="eastAsia" w:ascii="宋体" w:hAnsi="宋体"/>
          <w:color w:val="auto"/>
          <w:highlight w:val="none"/>
        </w:rPr>
      </w:pPr>
    </w:p>
    <w:p w14:paraId="5C41AD1F">
      <w:pPr>
        <w:pStyle w:val="4"/>
        <w:spacing w:line="360" w:lineRule="auto"/>
        <w:jc w:val="center"/>
        <w:rPr>
          <w:rFonts w:hint="eastAsia" w:ascii="宋体" w:hAnsi="宋体"/>
          <w:color w:val="auto"/>
          <w:highlight w:val="none"/>
        </w:rPr>
      </w:pPr>
    </w:p>
    <w:p w14:paraId="2246C0A4">
      <w:pPr>
        <w:pStyle w:val="4"/>
        <w:spacing w:line="360" w:lineRule="auto"/>
        <w:jc w:val="center"/>
        <w:rPr>
          <w:rFonts w:hint="eastAsia" w:ascii="宋体" w:hAnsi="宋体"/>
          <w:color w:val="auto"/>
          <w:highlight w:val="none"/>
        </w:rPr>
      </w:pPr>
    </w:p>
    <w:p w14:paraId="702D63E9">
      <w:pPr>
        <w:pStyle w:val="4"/>
        <w:spacing w:line="360" w:lineRule="auto"/>
        <w:jc w:val="center"/>
        <w:rPr>
          <w:rFonts w:hint="eastAsia" w:ascii="宋体" w:hAnsi="宋体"/>
          <w:color w:val="auto"/>
          <w:highlight w:val="none"/>
        </w:rPr>
      </w:pPr>
    </w:p>
    <w:p w14:paraId="54D81213">
      <w:pPr>
        <w:pStyle w:val="4"/>
        <w:spacing w:line="360" w:lineRule="auto"/>
        <w:jc w:val="center"/>
        <w:rPr>
          <w:rFonts w:hint="eastAsia" w:ascii="宋体" w:hAnsi="宋体"/>
          <w:color w:val="auto"/>
          <w:highlight w:val="none"/>
        </w:rPr>
      </w:pPr>
    </w:p>
    <w:p w14:paraId="523EE5A0">
      <w:pPr>
        <w:pStyle w:val="4"/>
        <w:spacing w:line="360" w:lineRule="auto"/>
        <w:jc w:val="center"/>
        <w:rPr>
          <w:rFonts w:hint="eastAsia" w:ascii="宋体" w:hAnsi="宋体"/>
          <w:color w:val="auto"/>
          <w:highlight w:val="none"/>
        </w:rPr>
      </w:pPr>
    </w:p>
    <w:p w14:paraId="630CC997">
      <w:pPr>
        <w:pStyle w:val="4"/>
        <w:spacing w:line="360" w:lineRule="auto"/>
        <w:jc w:val="center"/>
        <w:rPr>
          <w:rFonts w:hint="eastAsia" w:ascii="宋体" w:hAnsi="宋体"/>
          <w:color w:val="auto"/>
          <w:highlight w:val="none"/>
        </w:rPr>
      </w:pPr>
    </w:p>
    <w:p w14:paraId="7AAC2B9A">
      <w:pPr>
        <w:pStyle w:val="4"/>
        <w:spacing w:line="360" w:lineRule="auto"/>
        <w:jc w:val="center"/>
        <w:rPr>
          <w:rFonts w:hint="eastAsia" w:ascii="宋体" w:hAnsi="宋体"/>
          <w:color w:val="auto"/>
          <w:highlight w:val="none"/>
        </w:rPr>
      </w:pPr>
    </w:p>
    <w:p w14:paraId="69B918C3">
      <w:pPr>
        <w:pStyle w:val="4"/>
        <w:spacing w:line="360" w:lineRule="auto"/>
        <w:jc w:val="center"/>
        <w:rPr>
          <w:rFonts w:hint="eastAsia" w:ascii="宋体" w:hAnsi="宋体"/>
          <w:color w:val="auto"/>
          <w:highlight w:val="none"/>
        </w:rPr>
      </w:pPr>
    </w:p>
    <w:p w14:paraId="170F0BAB">
      <w:pPr>
        <w:pStyle w:val="4"/>
        <w:spacing w:line="360" w:lineRule="auto"/>
        <w:jc w:val="center"/>
        <w:rPr>
          <w:rFonts w:hint="eastAsia" w:ascii="宋体" w:hAnsi="宋体"/>
          <w:color w:val="auto"/>
          <w:highlight w:val="none"/>
        </w:rPr>
      </w:pPr>
    </w:p>
    <w:p w14:paraId="0AF07E93">
      <w:pPr>
        <w:pStyle w:val="4"/>
        <w:spacing w:line="360" w:lineRule="auto"/>
        <w:jc w:val="center"/>
        <w:rPr>
          <w:rFonts w:hint="eastAsia" w:ascii="宋体" w:hAnsi="宋体"/>
          <w:color w:val="auto"/>
          <w:highlight w:val="none"/>
        </w:rPr>
      </w:pPr>
    </w:p>
    <w:p w14:paraId="7D0F0A5E">
      <w:pPr>
        <w:pStyle w:val="4"/>
        <w:spacing w:line="360" w:lineRule="auto"/>
        <w:jc w:val="center"/>
        <w:rPr>
          <w:rFonts w:hint="eastAsia" w:ascii="宋体" w:hAnsi="宋体"/>
          <w:color w:val="auto"/>
          <w:highlight w:val="none"/>
        </w:rPr>
      </w:pPr>
    </w:p>
    <w:p w14:paraId="61D33979">
      <w:pPr>
        <w:pStyle w:val="4"/>
        <w:spacing w:line="360" w:lineRule="auto"/>
        <w:jc w:val="center"/>
        <w:rPr>
          <w:rFonts w:hint="eastAsia" w:ascii="宋体" w:hAnsi="宋体"/>
          <w:color w:val="auto"/>
          <w:highlight w:val="none"/>
        </w:rPr>
      </w:pPr>
    </w:p>
    <w:p w14:paraId="689B18DF">
      <w:pPr>
        <w:pStyle w:val="4"/>
        <w:spacing w:line="360" w:lineRule="auto"/>
        <w:jc w:val="center"/>
        <w:rPr>
          <w:rFonts w:hint="eastAsia" w:ascii="宋体" w:hAnsi="宋体"/>
          <w:color w:val="auto"/>
          <w:highlight w:val="none"/>
        </w:rPr>
      </w:pPr>
    </w:p>
    <w:p w14:paraId="0D550B82">
      <w:pPr>
        <w:pStyle w:val="4"/>
        <w:spacing w:line="360" w:lineRule="auto"/>
        <w:jc w:val="center"/>
        <w:rPr>
          <w:rFonts w:hint="eastAsia" w:ascii="宋体" w:hAnsi="宋体"/>
          <w:color w:val="auto"/>
          <w:highlight w:val="none"/>
        </w:rPr>
      </w:pPr>
    </w:p>
    <w:p w14:paraId="0AB42DB2">
      <w:pPr>
        <w:pStyle w:val="4"/>
        <w:spacing w:line="360" w:lineRule="auto"/>
        <w:jc w:val="center"/>
        <w:rPr>
          <w:rFonts w:hint="eastAsia" w:ascii="宋体" w:hAnsi="宋体"/>
          <w:color w:val="auto"/>
          <w:highlight w:val="none"/>
        </w:rPr>
      </w:pPr>
    </w:p>
    <w:p w14:paraId="06E48781">
      <w:pPr>
        <w:pStyle w:val="4"/>
        <w:spacing w:line="360" w:lineRule="auto"/>
        <w:jc w:val="center"/>
        <w:rPr>
          <w:rFonts w:hint="eastAsia" w:ascii="宋体" w:hAnsi="宋体"/>
          <w:color w:val="auto"/>
          <w:highlight w:val="none"/>
        </w:rPr>
      </w:pPr>
    </w:p>
    <w:p w14:paraId="174E9020">
      <w:pPr>
        <w:pStyle w:val="4"/>
        <w:spacing w:line="360" w:lineRule="auto"/>
        <w:jc w:val="center"/>
        <w:rPr>
          <w:rFonts w:hint="eastAsia" w:ascii="宋体" w:hAnsi="宋体"/>
          <w:color w:val="auto"/>
          <w:highlight w:val="none"/>
        </w:rPr>
      </w:pPr>
    </w:p>
    <w:p w14:paraId="1BE8C28B">
      <w:pPr>
        <w:pStyle w:val="4"/>
        <w:spacing w:line="360" w:lineRule="auto"/>
        <w:jc w:val="center"/>
        <w:rPr>
          <w:rFonts w:hint="eastAsia" w:ascii="宋体" w:hAnsi="宋体"/>
          <w:color w:val="auto"/>
          <w:highlight w:val="none"/>
        </w:rPr>
      </w:pPr>
    </w:p>
    <w:p w14:paraId="5E6BECEA">
      <w:pPr>
        <w:pStyle w:val="4"/>
        <w:spacing w:line="360" w:lineRule="auto"/>
        <w:jc w:val="center"/>
        <w:rPr>
          <w:rFonts w:hint="eastAsia" w:ascii="宋体" w:hAnsi="宋体"/>
          <w:color w:val="auto"/>
          <w:highlight w:val="none"/>
        </w:rPr>
      </w:pPr>
    </w:p>
    <w:bookmarkEnd w:id="62"/>
    <w:bookmarkEnd w:id="63"/>
    <w:bookmarkEnd w:id="64"/>
    <w:bookmarkEnd w:id="65"/>
    <w:bookmarkEnd w:id="66"/>
    <w:bookmarkEnd w:id="67"/>
    <w:bookmarkEnd w:id="68"/>
    <w:bookmarkEnd w:id="69"/>
    <w:p w14:paraId="2AFE1BD9">
      <w:pPr>
        <w:rPr>
          <w:color w:val="auto"/>
          <w:highlight w:val="none"/>
        </w:rPr>
      </w:pPr>
    </w:p>
    <w:p w14:paraId="23E6B424">
      <w:pPr>
        <w:pStyle w:val="4"/>
        <w:spacing w:before="0" w:line="360" w:lineRule="auto"/>
        <w:jc w:val="center"/>
        <w:rPr>
          <w:rFonts w:hint="eastAsia"/>
          <w:color w:val="auto"/>
          <w:highlight w:val="none"/>
        </w:rPr>
      </w:pPr>
      <w:r>
        <w:rPr>
          <w:rFonts w:ascii="宋体" w:hAnsi="宋体"/>
          <w:b w:val="0"/>
          <w:color w:val="auto"/>
          <w:sz w:val="21"/>
          <w:szCs w:val="24"/>
          <w:highlight w:val="none"/>
        </w:rPr>
        <w:br w:type="page"/>
      </w:r>
    </w:p>
    <w:p w14:paraId="7D526A52">
      <w:pPr>
        <w:numPr>
          <w:ilvl w:val="0"/>
          <w:numId w:val="26"/>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14:paraId="66F0CB8C">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0898A132">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4C9C6A8E">
      <w:pPr>
        <w:autoSpaceDE w:val="0"/>
        <w:autoSpaceDN w:val="0"/>
        <w:adjustRightInd w:val="0"/>
        <w:snapToGrid w:val="0"/>
        <w:spacing w:line="360" w:lineRule="auto"/>
        <w:jc w:val="left"/>
        <w:rPr>
          <w:rFonts w:ascii="宋体" w:hAnsi="宋体"/>
          <w:b/>
          <w:color w:val="auto"/>
          <w:kern w:val="0"/>
          <w:sz w:val="20"/>
          <w:szCs w:val="20"/>
          <w:highlight w:val="none"/>
        </w:rPr>
      </w:pPr>
    </w:p>
    <w:p w14:paraId="1D337159">
      <w:pPr>
        <w:autoSpaceDE w:val="0"/>
        <w:autoSpaceDN w:val="0"/>
        <w:adjustRightInd w:val="0"/>
        <w:snapToGrid w:val="0"/>
        <w:spacing w:line="360" w:lineRule="auto"/>
        <w:jc w:val="left"/>
        <w:rPr>
          <w:rFonts w:ascii="宋体" w:hAnsi="宋体"/>
          <w:b/>
          <w:color w:val="auto"/>
          <w:kern w:val="0"/>
          <w:sz w:val="20"/>
          <w:szCs w:val="20"/>
          <w:highlight w:val="none"/>
        </w:rPr>
      </w:pPr>
    </w:p>
    <w:p w14:paraId="5F1A78F3">
      <w:pPr>
        <w:autoSpaceDE w:val="0"/>
        <w:autoSpaceDN w:val="0"/>
        <w:adjustRightInd w:val="0"/>
        <w:snapToGrid w:val="0"/>
        <w:spacing w:line="360" w:lineRule="auto"/>
        <w:jc w:val="left"/>
        <w:rPr>
          <w:rFonts w:ascii="宋体" w:hAnsi="宋体"/>
          <w:b/>
          <w:color w:val="auto"/>
          <w:kern w:val="0"/>
          <w:sz w:val="20"/>
          <w:szCs w:val="20"/>
          <w:highlight w:val="none"/>
        </w:rPr>
      </w:pPr>
    </w:p>
    <w:p w14:paraId="0F192285">
      <w:pPr>
        <w:autoSpaceDE w:val="0"/>
        <w:autoSpaceDN w:val="0"/>
        <w:adjustRightInd w:val="0"/>
        <w:snapToGrid w:val="0"/>
        <w:spacing w:line="360" w:lineRule="auto"/>
        <w:jc w:val="left"/>
        <w:rPr>
          <w:rFonts w:ascii="宋体" w:hAnsi="宋体"/>
          <w:b/>
          <w:color w:val="auto"/>
          <w:kern w:val="0"/>
          <w:sz w:val="20"/>
          <w:szCs w:val="20"/>
          <w:highlight w:val="none"/>
        </w:rPr>
      </w:pPr>
    </w:p>
    <w:p w14:paraId="70FD1580">
      <w:pPr>
        <w:autoSpaceDE w:val="0"/>
        <w:autoSpaceDN w:val="0"/>
        <w:adjustRightInd w:val="0"/>
        <w:snapToGrid w:val="0"/>
        <w:spacing w:line="360" w:lineRule="auto"/>
        <w:jc w:val="left"/>
        <w:rPr>
          <w:rFonts w:ascii="宋体" w:hAnsi="宋体"/>
          <w:b/>
          <w:color w:val="auto"/>
          <w:kern w:val="0"/>
          <w:sz w:val="20"/>
          <w:szCs w:val="20"/>
          <w:highlight w:val="none"/>
        </w:rPr>
      </w:pPr>
    </w:p>
    <w:p w14:paraId="487D9895">
      <w:pPr>
        <w:autoSpaceDE w:val="0"/>
        <w:autoSpaceDN w:val="0"/>
        <w:adjustRightInd w:val="0"/>
        <w:snapToGrid w:val="0"/>
        <w:spacing w:line="360" w:lineRule="auto"/>
        <w:jc w:val="left"/>
        <w:rPr>
          <w:rFonts w:ascii="宋体" w:hAnsi="宋体"/>
          <w:b/>
          <w:color w:val="auto"/>
          <w:kern w:val="0"/>
          <w:sz w:val="20"/>
          <w:szCs w:val="20"/>
          <w:highlight w:val="none"/>
        </w:rPr>
      </w:pPr>
    </w:p>
    <w:p w14:paraId="29D37C6B">
      <w:pPr>
        <w:autoSpaceDE w:val="0"/>
        <w:autoSpaceDN w:val="0"/>
        <w:adjustRightInd w:val="0"/>
        <w:snapToGrid w:val="0"/>
        <w:spacing w:line="360" w:lineRule="auto"/>
        <w:jc w:val="left"/>
        <w:rPr>
          <w:rFonts w:ascii="宋体" w:hAnsi="宋体"/>
          <w:b/>
          <w:color w:val="auto"/>
          <w:kern w:val="0"/>
          <w:sz w:val="20"/>
          <w:szCs w:val="20"/>
          <w:highlight w:val="none"/>
        </w:rPr>
      </w:pPr>
    </w:p>
    <w:p w14:paraId="3A52C761">
      <w:pPr>
        <w:autoSpaceDE w:val="0"/>
        <w:autoSpaceDN w:val="0"/>
        <w:adjustRightInd w:val="0"/>
        <w:snapToGrid w:val="0"/>
        <w:spacing w:line="360" w:lineRule="auto"/>
        <w:jc w:val="left"/>
        <w:rPr>
          <w:rFonts w:ascii="宋体" w:hAnsi="宋体"/>
          <w:b/>
          <w:color w:val="auto"/>
          <w:kern w:val="0"/>
          <w:sz w:val="20"/>
          <w:szCs w:val="20"/>
          <w:highlight w:val="none"/>
        </w:rPr>
      </w:pPr>
    </w:p>
    <w:p w14:paraId="295242F0">
      <w:pPr>
        <w:autoSpaceDE w:val="0"/>
        <w:autoSpaceDN w:val="0"/>
        <w:adjustRightInd w:val="0"/>
        <w:snapToGrid w:val="0"/>
        <w:spacing w:line="360" w:lineRule="auto"/>
        <w:jc w:val="left"/>
        <w:rPr>
          <w:rFonts w:ascii="宋体" w:hAnsi="宋体"/>
          <w:b/>
          <w:color w:val="auto"/>
          <w:kern w:val="0"/>
          <w:sz w:val="20"/>
          <w:szCs w:val="20"/>
          <w:highlight w:val="none"/>
        </w:rPr>
      </w:pPr>
    </w:p>
    <w:p w14:paraId="52B4994D">
      <w:pPr>
        <w:autoSpaceDE w:val="0"/>
        <w:autoSpaceDN w:val="0"/>
        <w:adjustRightInd w:val="0"/>
        <w:snapToGrid w:val="0"/>
        <w:spacing w:line="360" w:lineRule="auto"/>
        <w:jc w:val="left"/>
        <w:rPr>
          <w:rFonts w:ascii="宋体" w:hAnsi="宋体"/>
          <w:b/>
          <w:color w:val="auto"/>
          <w:kern w:val="0"/>
          <w:sz w:val="20"/>
          <w:szCs w:val="20"/>
          <w:highlight w:val="none"/>
        </w:rPr>
      </w:pPr>
    </w:p>
    <w:p w14:paraId="1C0679C9">
      <w:pPr>
        <w:autoSpaceDE w:val="0"/>
        <w:autoSpaceDN w:val="0"/>
        <w:adjustRightInd w:val="0"/>
        <w:snapToGrid w:val="0"/>
        <w:spacing w:line="360" w:lineRule="auto"/>
        <w:jc w:val="left"/>
        <w:rPr>
          <w:rFonts w:ascii="宋体" w:hAnsi="宋体"/>
          <w:b/>
          <w:color w:val="auto"/>
          <w:kern w:val="0"/>
          <w:sz w:val="20"/>
          <w:szCs w:val="20"/>
          <w:highlight w:val="none"/>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875D131">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321E4877">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14:paraId="401433BE">
      <w:pPr>
        <w:numPr>
          <w:ilvl w:val="0"/>
          <w:numId w:val="0"/>
        </w:numPr>
        <w:jc w:val="both"/>
        <w:rPr>
          <w:rFonts w:hint="eastAsia" w:ascii="宋体" w:hAnsi="宋体" w:eastAsia="仿宋_GB2312" w:cs="MingLiU"/>
          <w:b/>
          <w:bCs/>
          <w:color w:val="auto"/>
          <w:kern w:val="0"/>
          <w:sz w:val="32"/>
          <w:szCs w:val="36"/>
          <w:highlight w:val="none"/>
        </w:rPr>
      </w:pPr>
    </w:p>
    <w:p w14:paraId="7B3FF203">
      <w:pPr>
        <w:rPr>
          <w:color w:val="auto"/>
          <w:highlight w:val="none"/>
        </w:rPr>
      </w:pPr>
    </w:p>
    <w:sectPr>
      <w:footerReference r:id="rId17" w:type="first"/>
      <w:headerReference r:id="rId15" w:type="default"/>
      <w:footerReference r:id="rId16"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52610">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1E5261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D6B79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D6B79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3FE5">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87413">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CD8741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E34C">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B43E3">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57B43E3">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432DF">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6432D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5D7E0">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F05D7E0">
                    <w:pPr>
                      <w:pStyle w:val="1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5402F">
                          <w:pPr>
                            <w:pStyle w:val="10"/>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475402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
    <w:nsid w:val="88C6D0E7"/>
    <w:multiLevelType w:val="singleLevel"/>
    <w:tmpl w:val="88C6D0E7"/>
    <w:lvl w:ilvl="0" w:tentative="0">
      <w:start w:val="2"/>
      <w:numFmt w:val="decimal"/>
      <w:lvlText w:val="%1."/>
      <w:lvlJc w:val="left"/>
      <w:pPr>
        <w:tabs>
          <w:tab w:val="left" w:pos="312"/>
        </w:tabs>
      </w:pPr>
    </w:lvl>
  </w:abstractNum>
  <w:abstractNum w:abstractNumId="3">
    <w:nsid w:val="8CAEB125"/>
    <w:multiLevelType w:val="multilevel"/>
    <w:tmpl w:val="8CAEB125"/>
    <w:lvl w:ilvl="0" w:tentative="0">
      <w:start w:val="1"/>
      <w:numFmt w:val="decimal"/>
      <w:lvlText w:val="%1."/>
      <w:lvlJc w:val="left"/>
      <w:pPr>
        <w:ind w:left="303" w:hanging="316"/>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38" w:hanging="316"/>
      </w:pPr>
      <w:rPr>
        <w:rFonts w:hint="default"/>
        <w:lang w:val="zh-CN" w:eastAsia="zh-CN" w:bidi="zh-CN"/>
      </w:rPr>
    </w:lvl>
    <w:lvl w:ilvl="2" w:tentative="0">
      <w:start w:val="0"/>
      <w:numFmt w:val="bullet"/>
      <w:lvlText w:val="•"/>
      <w:lvlJc w:val="left"/>
      <w:pPr>
        <w:ind w:left="2837" w:hanging="316"/>
      </w:pPr>
      <w:rPr>
        <w:rFonts w:hint="default"/>
        <w:lang w:val="zh-CN" w:eastAsia="zh-CN" w:bidi="zh-CN"/>
      </w:rPr>
    </w:lvl>
    <w:lvl w:ilvl="3" w:tentative="0">
      <w:start w:val="0"/>
      <w:numFmt w:val="bullet"/>
      <w:lvlText w:val="•"/>
      <w:lvlJc w:val="left"/>
      <w:pPr>
        <w:ind w:left="3736" w:hanging="316"/>
      </w:pPr>
      <w:rPr>
        <w:rFonts w:hint="default"/>
        <w:lang w:val="zh-CN" w:eastAsia="zh-CN" w:bidi="zh-CN"/>
      </w:rPr>
    </w:lvl>
    <w:lvl w:ilvl="4" w:tentative="0">
      <w:start w:val="0"/>
      <w:numFmt w:val="bullet"/>
      <w:lvlText w:val="•"/>
      <w:lvlJc w:val="left"/>
      <w:pPr>
        <w:ind w:left="4634" w:hanging="316"/>
      </w:pPr>
      <w:rPr>
        <w:rFonts w:hint="default"/>
        <w:lang w:val="zh-CN" w:eastAsia="zh-CN" w:bidi="zh-CN"/>
      </w:rPr>
    </w:lvl>
    <w:lvl w:ilvl="5" w:tentative="0">
      <w:start w:val="0"/>
      <w:numFmt w:val="bullet"/>
      <w:lvlText w:val="•"/>
      <w:lvlJc w:val="left"/>
      <w:pPr>
        <w:ind w:left="5533" w:hanging="316"/>
      </w:pPr>
      <w:rPr>
        <w:rFonts w:hint="default"/>
        <w:lang w:val="zh-CN" w:eastAsia="zh-CN" w:bidi="zh-CN"/>
      </w:rPr>
    </w:lvl>
    <w:lvl w:ilvl="6" w:tentative="0">
      <w:start w:val="0"/>
      <w:numFmt w:val="bullet"/>
      <w:lvlText w:val="•"/>
      <w:lvlJc w:val="left"/>
      <w:pPr>
        <w:ind w:left="6432" w:hanging="316"/>
      </w:pPr>
      <w:rPr>
        <w:rFonts w:hint="default"/>
        <w:lang w:val="zh-CN" w:eastAsia="zh-CN" w:bidi="zh-CN"/>
      </w:rPr>
    </w:lvl>
    <w:lvl w:ilvl="7" w:tentative="0">
      <w:start w:val="0"/>
      <w:numFmt w:val="bullet"/>
      <w:lvlText w:val="•"/>
      <w:lvlJc w:val="left"/>
      <w:pPr>
        <w:ind w:left="7330" w:hanging="316"/>
      </w:pPr>
      <w:rPr>
        <w:rFonts w:hint="default"/>
        <w:lang w:val="zh-CN" w:eastAsia="zh-CN" w:bidi="zh-CN"/>
      </w:rPr>
    </w:lvl>
    <w:lvl w:ilvl="8" w:tentative="0">
      <w:start w:val="0"/>
      <w:numFmt w:val="bullet"/>
      <w:lvlText w:val="•"/>
      <w:lvlJc w:val="left"/>
      <w:pPr>
        <w:ind w:left="8229" w:hanging="316"/>
      </w:pPr>
      <w:rPr>
        <w:rFonts w:hint="default"/>
        <w:lang w:val="zh-CN" w:eastAsia="zh-CN" w:bidi="zh-CN"/>
      </w:rPr>
    </w:lvl>
  </w:abstractNum>
  <w:abstractNum w:abstractNumId="5">
    <w:nsid w:val="A134D5EA"/>
    <w:multiLevelType w:val="singleLevel"/>
    <w:tmpl w:val="A134D5EA"/>
    <w:lvl w:ilvl="0" w:tentative="0">
      <w:start w:val="4"/>
      <w:numFmt w:val="chineseCounting"/>
      <w:suff w:val="nothing"/>
      <w:lvlText w:val="%1、"/>
      <w:lvlJc w:val="left"/>
      <w:rPr>
        <w:rFonts w:hint="eastAsia"/>
      </w:rPr>
    </w:lvl>
  </w:abstractNum>
  <w:abstractNum w:abstractNumId="6">
    <w:nsid w:val="B0F1ACD9"/>
    <w:multiLevelType w:val="multilevel"/>
    <w:tmpl w:val="B0F1ACD9"/>
    <w:lvl w:ilvl="0" w:tentative="0">
      <w:start w:val="1"/>
      <w:numFmt w:val="decimal"/>
      <w:lvlText w:val="（%1）"/>
      <w:lvlJc w:val="left"/>
      <w:pPr>
        <w:ind w:left="869"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526"/>
      </w:pPr>
      <w:rPr>
        <w:rFonts w:hint="default"/>
        <w:lang w:val="zh-CN" w:eastAsia="zh-CN" w:bidi="zh-CN"/>
      </w:rPr>
    </w:lvl>
    <w:lvl w:ilvl="2" w:tentative="0">
      <w:start w:val="0"/>
      <w:numFmt w:val="bullet"/>
      <w:lvlText w:val="•"/>
      <w:lvlJc w:val="left"/>
      <w:pPr>
        <w:ind w:left="2693" w:hanging="526"/>
      </w:pPr>
      <w:rPr>
        <w:rFonts w:hint="default"/>
        <w:lang w:val="zh-CN" w:eastAsia="zh-CN" w:bidi="zh-CN"/>
      </w:rPr>
    </w:lvl>
    <w:lvl w:ilvl="3" w:tentative="0">
      <w:start w:val="0"/>
      <w:numFmt w:val="bullet"/>
      <w:lvlText w:val="•"/>
      <w:lvlJc w:val="left"/>
      <w:pPr>
        <w:ind w:left="3610" w:hanging="526"/>
      </w:pPr>
      <w:rPr>
        <w:rFonts w:hint="default"/>
        <w:lang w:val="zh-CN" w:eastAsia="zh-CN" w:bidi="zh-CN"/>
      </w:rPr>
    </w:lvl>
    <w:lvl w:ilvl="4" w:tentative="0">
      <w:start w:val="0"/>
      <w:numFmt w:val="bullet"/>
      <w:lvlText w:val="•"/>
      <w:lvlJc w:val="left"/>
      <w:pPr>
        <w:ind w:left="4526" w:hanging="526"/>
      </w:pPr>
      <w:rPr>
        <w:rFonts w:hint="default"/>
        <w:lang w:val="zh-CN" w:eastAsia="zh-CN" w:bidi="zh-CN"/>
      </w:rPr>
    </w:lvl>
    <w:lvl w:ilvl="5" w:tentative="0">
      <w:start w:val="0"/>
      <w:numFmt w:val="bullet"/>
      <w:lvlText w:val="•"/>
      <w:lvlJc w:val="left"/>
      <w:pPr>
        <w:ind w:left="5443" w:hanging="526"/>
      </w:pPr>
      <w:rPr>
        <w:rFonts w:hint="default"/>
        <w:lang w:val="zh-CN" w:eastAsia="zh-CN" w:bidi="zh-CN"/>
      </w:rPr>
    </w:lvl>
    <w:lvl w:ilvl="6" w:tentative="0">
      <w:start w:val="0"/>
      <w:numFmt w:val="bullet"/>
      <w:lvlText w:val="•"/>
      <w:lvlJc w:val="left"/>
      <w:pPr>
        <w:ind w:left="6360" w:hanging="526"/>
      </w:pPr>
      <w:rPr>
        <w:rFonts w:hint="default"/>
        <w:lang w:val="zh-CN" w:eastAsia="zh-CN" w:bidi="zh-CN"/>
      </w:rPr>
    </w:lvl>
    <w:lvl w:ilvl="7" w:tentative="0">
      <w:start w:val="0"/>
      <w:numFmt w:val="bullet"/>
      <w:lvlText w:val="•"/>
      <w:lvlJc w:val="left"/>
      <w:pPr>
        <w:ind w:left="7276" w:hanging="526"/>
      </w:pPr>
      <w:rPr>
        <w:rFonts w:hint="default"/>
        <w:lang w:val="zh-CN" w:eastAsia="zh-CN" w:bidi="zh-CN"/>
      </w:rPr>
    </w:lvl>
    <w:lvl w:ilvl="8" w:tentative="0">
      <w:start w:val="0"/>
      <w:numFmt w:val="bullet"/>
      <w:lvlText w:val="•"/>
      <w:lvlJc w:val="left"/>
      <w:pPr>
        <w:ind w:left="8193" w:hanging="526"/>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9">
    <w:nsid w:val="CEC10790"/>
    <w:multiLevelType w:val="singleLevel"/>
    <w:tmpl w:val="CEC10790"/>
    <w:lvl w:ilvl="0" w:tentative="0">
      <w:start w:val="1"/>
      <w:numFmt w:val="decimal"/>
      <w:suff w:val="nothing"/>
      <w:lvlText w:val="%1、"/>
      <w:lvlJc w:val="left"/>
    </w:lvl>
  </w:abstractNum>
  <w:abstractNum w:abstractNumId="10">
    <w:nsid w:val="D6659358"/>
    <w:multiLevelType w:val="singleLevel"/>
    <w:tmpl w:val="D6659358"/>
    <w:lvl w:ilvl="0" w:tentative="0">
      <w:start w:val="5"/>
      <w:numFmt w:val="decimal"/>
      <w:lvlText w:val="%1."/>
      <w:lvlJc w:val="left"/>
      <w:pPr>
        <w:tabs>
          <w:tab w:val="left" w:pos="312"/>
        </w:tabs>
      </w:pPr>
    </w:lvl>
  </w:abstractNum>
  <w:abstractNum w:abstractNumId="11">
    <w:nsid w:val="E093A4B0"/>
    <w:multiLevelType w:val="multilevel"/>
    <w:tmpl w:val="E093A4B0"/>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2">
    <w:nsid w:val="F7735DC9"/>
    <w:multiLevelType w:val="multilevel"/>
    <w:tmpl w:val="F7735DC9"/>
    <w:lvl w:ilvl="0" w:tentative="0">
      <w:start w:val="1"/>
      <w:numFmt w:val="decimal"/>
      <w:lvlText w:val="%1."/>
      <w:lvlJc w:val="left"/>
      <w:pPr>
        <w:ind w:left="303" w:hanging="316"/>
      </w:pPr>
      <w:rPr>
        <w:rFonts w:hint="default" w:ascii="宋体" w:hAnsi="宋体" w:eastAsia="宋体" w:cs="宋体"/>
        <w:spacing w:val="-94"/>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13">
    <w:nsid w:val="1ACDE60F"/>
    <w:multiLevelType w:val="multilevel"/>
    <w:tmpl w:val="1ACDE60F"/>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1250"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34" w:hanging="527"/>
      </w:pPr>
      <w:rPr>
        <w:rFonts w:hint="default"/>
        <w:lang w:val="zh-CN" w:eastAsia="zh-CN" w:bidi="zh-CN"/>
      </w:rPr>
    </w:lvl>
    <w:lvl w:ilvl="3" w:tentative="0">
      <w:start w:val="0"/>
      <w:numFmt w:val="bullet"/>
      <w:lvlText w:val="•"/>
      <w:lvlJc w:val="left"/>
      <w:pPr>
        <w:ind w:left="3208" w:hanging="527"/>
      </w:pPr>
      <w:rPr>
        <w:rFonts w:hint="default"/>
        <w:lang w:val="zh-CN" w:eastAsia="zh-CN" w:bidi="zh-CN"/>
      </w:rPr>
    </w:lvl>
    <w:lvl w:ilvl="4" w:tentative="0">
      <w:start w:val="0"/>
      <w:numFmt w:val="bullet"/>
      <w:lvlText w:val="•"/>
      <w:lvlJc w:val="left"/>
      <w:pPr>
        <w:ind w:left="4182" w:hanging="527"/>
      </w:pPr>
      <w:rPr>
        <w:rFonts w:hint="default"/>
        <w:lang w:val="zh-CN" w:eastAsia="zh-CN" w:bidi="zh-CN"/>
      </w:rPr>
    </w:lvl>
    <w:lvl w:ilvl="5" w:tentative="0">
      <w:start w:val="0"/>
      <w:numFmt w:val="bullet"/>
      <w:lvlText w:val="•"/>
      <w:lvlJc w:val="left"/>
      <w:pPr>
        <w:ind w:left="5156" w:hanging="527"/>
      </w:pPr>
      <w:rPr>
        <w:rFonts w:hint="default"/>
        <w:lang w:val="zh-CN" w:eastAsia="zh-CN" w:bidi="zh-CN"/>
      </w:rPr>
    </w:lvl>
    <w:lvl w:ilvl="6" w:tentative="0">
      <w:start w:val="0"/>
      <w:numFmt w:val="bullet"/>
      <w:lvlText w:val="•"/>
      <w:lvlJc w:val="left"/>
      <w:pPr>
        <w:ind w:left="6130" w:hanging="527"/>
      </w:pPr>
      <w:rPr>
        <w:rFonts w:hint="default"/>
        <w:lang w:val="zh-CN" w:eastAsia="zh-CN" w:bidi="zh-CN"/>
      </w:rPr>
    </w:lvl>
    <w:lvl w:ilvl="7" w:tentative="0">
      <w:start w:val="0"/>
      <w:numFmt w:val="bullet"/>
      <w:lvlText w:val="•"/>
      <w:lvlJc w:val="left"/>
      <w:pPr>
        <w:ind w:left="7104" w:hanging="527"/>
      </w:pPr>
      <w:rPr>
        <w:rFonts w:hint="default"/>
        <w:lang w:val="zh-CN" w:eastAsia="zh-CN" w:bidi="zh-CN"/>
      </w:rPr>
    </w:lvl>
    <w:lvl w:ilvl="8" w:tentative="0">
      <w:start w:val="0"/>
      <w:numFmt w:val="bullet"/>
      <w:lvlText w:val="•"/>
      <w:lvlJc w:val="left"/>
      <w:pPr>
        <w:ind w:left="8078" w:hanging="527"/>
      </w:pPr>
      <w:rPr>
        <w:rFonts w:hint="default"/>
        <w:lang w:val="zh-CN" w:eastAsia="zh-CN" w:bidi="zh-CN"/>
      </w:rPr>
    </w:lvl>
  </w:abstractNum>
  <w:abstractNum w:abstractNumId="14">
    <w:nsid w:val="243FCF68"/>
    <w:multiLevelType w:val="multilevel"/>
    <w:tmpl w:val="243FCF68"/>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5">
    <w:nsid w:val="30FC5B15"/>
    <w:multiLevelType w:val="multilevel"/>
    <w:tmpl w:val="30FC5B15"/>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16">
    <w:nsid w:val="322DA995"/>
    <w:multiLevelType w:val="singleLevel"/>
    <w:tmpl w:val="322DA995"/>
    <w:lvl w:ilvl="0" w:tentative="0">
      <w:start w:val="5"/>
      <w:numFmt w:val="chineseCounting"/>
      <w:suff w:val="nothing"/>
      <w:lvlText w:val="%1、"/>
      <w:lvlJc w:val="left"/>
      <w:rPr>
        <w:rFonts w:hint="eastAsia"/>
      </w:rPr>
    </w:lvl>
  </w:abstractNum>
  <w:abstractNum w:abstractNumId="17">
    <w:nsid w:val="46A08BB8"/>
    <w:multiLevelType w:val="multilevel"/>
    <w:tmpl w:val="46A08BB8"/>
    <w:lvl w:ilvl="0" w:tentative="0">
      <w:start w:val="1"/>
      <w:numFmt w:val="decimal"/>
      <w:lvlText w:val="（%1）"/>
      <w:lvlJc w:val="left"/>
      <w:pPr>
        <w:ind w:left="303" w:hanging="527"/>
      </w:pPr>
      <w:rPr>
        <w:rFonts w:hint="default" w:ascii="宋体" w:hAnsi="宋体" w:eastAsia="宋体" w:cs="宋体"/>
        <w:spacing w:val="-4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45" w:hanging="212"/>
      </w:pPr>
      <w:rPr>
        <w:rFonts w:hint="default"/>
        <w:lang w:val="zh-CN" w:eastAsia="zh-CN" w:bidi="zh-CN"/>
      </w:rPr>
    </w:lvl>
    <w:lvl w:ilvl="3" w:tentative="0">
      <w:start w:val="0"/>
      <w:numFmt w:val="bullet"/>
      <w:lvlText w:val="•"/>
      <w:lvlJc w:val="left"/>
      <w:pPr>
        <w:ind w:left="3218" w:hanging="212"/>
      </w:pPr>
      <w:rPr>
        <w:rFonts w:hint="default"/>
        <w:lang w:val="zh-CN" w:eastAsia="zh-CN" w:bidi="zh-CN"/>
      </w:rPr>
    </w:lvl>
    <w:lvl w:ilvl="4" w:tentative="0">
      <w:start w:val="0"/>
      <w:numFmt w:val="bullet"/>
      <w:lvlText w:val="•"/>
      <w:lvlJc w:val="left"/>
      <w:pPr>
        <w:ind w:left="4190" w:hanging="212"/>
      </w:pPr>
      <w:rPr>
        <w:rFonts w:hint="default"/>
        <w:lang w:val="zh-CN" w:eastAsia="zh-CN" w:bidi="zh-CN"/>
      </w:rPr>
    </w:lvl>
    <w:lvl w:ilvl="5" w:tentative="0">
      <w:start w:val="0"/>
      <w:numFmt w:val="bullet"/>
      <w:lvlText w:val="•"/>
      <w:lvlJc w:val="left"/>
      <w:pPr>
        <w:ind w:left="5163" w:hanging="212"/>
      </w:pPr>
      <w:rPr>
        <w:rFonts w:hint="default"/>
        <w:lang w:val="zh-CN" w:eastAsia="zh-CN" w:bidi="zh-CN"/>
      </w:rPr>
    </w:lvl>
    <w:lvl w:ilvl="6" w:tentative="0">
      <w:start w:val="0"/>
      <w:numFmt w:val="bullet"/>
      <w:lvlText w:val="•"/>
      <w:lvlJc w:val="left"/>
      <w:pPr>
        <w:ind w:left="6136" w:hanging="212"/>
      </w:pPr>
      <w:rPr>
        <w:rFonts w:hint="default"/>
        <w:lang w:val="zh-CN" w:eastAsia="zh-CN" w:bidi="zh-CN"/>
      </w:rPr>
    </w:lvl>
    <w:lvl w:ilvl="7" w:tentative="0">
      <w:start w:val="0"/>
      <w:numFmt w:val="bullet"/>
      <w:lvlText w:val="•"/>
      <w:lvlJc w:val="left"/>
      <w:pPr>
        <w:ind w:left="7108" w:hanging="212"/>
      </w:pPr>
      <w:rPr>
        <w:rFonts w:hint="default"/>
        <w:lang w:val="zh-CN" w:eastAsia="zh-CN" w:bidi="zh-CN"/>
      </w:rPr>
    </w:lvl>
    <w:lvl w:ilvl="8" w:tentative="0">
      <w:start w:val="0"/>
      <w:numFmt w:val="bullet"/>
      <w:lvlText w:val="•"/>
      <w:lvlJc w:val="left"/>
      <w:pPr>
        <w:ind w:left="8081" w:hanging="212"/>
      </w:pPr>
      <w:rPr>
        <w:rFonts w:hint="default"/>
        <w:lang w:val="zh-CN" w:eastAsia="zh-CN" w:bidi="zh-CN"/>
      </w:rPr>
    </w:lvl>
  </w:abstractNum>
  <w:abstractNum w:abstractNumId="18">
    <w:nsid w:val="4D94DA66"/>
    <w:multiLevelType w:val="multilevel"/>
    <w:tmpl w:val="4D94DA66"/>
    <w:lvl w:ilvl="0" w:tentative="0">
      <w:start w:val="1"/>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9">
    <w:nsid w:val="5E29AB5A"/>
    <w:multiLevelType w:val="multilevel"/>
    <w:tmpl w:val="5E29AB5A"/>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0">
    <w:nsid w:val="5FFFB1A7"/>
    <w:multiLevelType w:val="multilevel"/>
    <w:tmpl w:val="5FFFB1A7"/>
    <w:lvl w:ilvl="0" w:tentative="0">
      <w:start w:val="1"/>
      <w:numFmt w:val="decimal"/>
      <w:lvlText w:val="（%1）"/>
      <w:lvlJc w:val="left"/>
      <w:pPr>
        <w:ind w:left="1079" w:hanging="527"/>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974" w:hanging="527"/>
      </w:pPr>
      <w:rPr>
        <w:rFonts w:hint="default"/>
        <w:lang w:val="zh-CN" w:eastAsia="zh-CN" w:bidi="zh-CN"/>
      </w:rPr>
    </w:lvl>
    <w:lvl w:ilvl="2" w:tentative="0">
      <w:start w:val="0"/>
      <w:numFmt w:val="bullet"/>
      <w:lvlText w:val="•"/>
      <w:lvlJc w:val="left"/>
      <w:pPr>
        <w:ind w:left="2869" w:hanging="527"/>
      </w:pPr>
      <w:rPr>
        <w:rFonts w:hint="default"/>
        <w:lang w:val="zh-CN" w:eastAsia="zh-CN" w:bidi="zh-CN"/>
      </w:rPr>
    </w:lvl>
    <w:lvl w:ilvl="3" w:tentative="0">
      <w:start w:val="0"/>
      <w:numFmt w:val="bullet"/>
      <w:lvlText w:val="•"/>
      <w:lvlJc w:val="left"/>
      <w:pPr>
        <w:ind w:left="3764" w:hanging="527"/>
      </w:pPr>
      <w:rPr>
        <w:rFonts w:hint="default"/>
        <w:lang w:val="zh-CN" w:eastAsia="zh-CN" w:bidi="zh-CN"/>
      </w:rPr>
    </w:lvl>
    <w:lvl w:ilvl="4" w:tentative="0">
      <w:start w:val="0"/>
      <w:numFmt w:val="bullet"/>
      <w:lvlText w:val="•"/>
      <w:lvlJc w:val="left"/>
      <w:pPr>
        <w:ind w:left="4658"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42" w:hanging="527"/>
      </w:pPr>
      <w:rPr>
        <w:rFonts w:hint="default"/>
        <w:lang w:val="zh-CN" w:eastAsia="zh-CN" w:bidi="zh-CN"/>
      </w:rPr>
    </w:lvl>
    <w:lvl w:ilvl="8" w:tentative="0">
      <w:start w:val="0"/>
      <w:numFmt w:val="bullet"/>
      <w:lvlText w:val="•"/>
      <w:lvlJc w:val="left"/>
      <w:pPr>
        <w:ind w:left="8237" w:hanging="527"/>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76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86" w:hanging="212"/>
      </w:pPr>
      <w:rPr>
        <w:rFonts w:hint="default"/>
        <w:lang w:val="zh-CN" w:eastAsia="zh-CN" w:bidi="zh-CN"/>
      </w:rPr>
    </w:lvl>
    <w:lvl w:ilvl="2" w:tentative="0">
      <w:start w:val="0"/>
      <w:numFmt w:val="bullet"/>
      <w:lvlText w:val="•"/>
      <w:lvlJc w:val="left"/>
      <w:pPr>
        <w:ind w:left="2613" w:hanging="212"/>
      </w:pPr>
      <w:rPr>
        <w:rFonts w:hint="default"/>
        <w:lang w:val="zh-CN" w:eastAsia="zh-CN" w:bidi="zh-CN"/>
      </w:rPr>
    </w:lvl>
    <w:lvl w:ilvl="3" w:tentative="0">
      <w:start w:val="0"/>
      <w:numFmt w:val="bullet"/>
      <w:lvlText w:val="•"/>
      <w:lvlJc w:val="left"/>
      <w:pPr>
        <w:ind w:left="3540" w:hanging="212"/>
      </w:pPr>
      <w:rPr>
        <w:rFonts w:hint="default"/>
        <w:lang w:val="zh-CN" w:eastAsia="zh-CN" w:bidi="zh-CN"/>
      </w:rPr>
    </w:lvl>
    <w:lvl w:ilvl="4" w:tentative="0">
      <w:start w:val="0"/>
      <w:numFmt w:val="bullet"/>
      <w:lvlText w:val="•"/>
      <w:lvlJc w:val="left"/>
      <w:pPr>
        <w:ind w:left="4466" w:hanging="212"/>
      </w:pPr>
      <w:rPr>
        <w:rFonts w:hint="default"/>
        <w:lang w:val="zh-CN" w:eastAsia="zh-CN" w:bidi="zh-CN"/>
      </w:rPr>
    </w:lvl>
    <w:lvl w:ilvl="5" w:tentative="0">
      <w:start w:val="0"/>
      <w:numFmt w:val="bullet"/>
      <w:lvlText w:val="•"/>
      <w:lvlJc w:val="left"/>
      <w:pPr>
        <w:ind w:left="5393" w:hanging="212"/>
      </w:pPr>
      <w:rPr>
        <w:rFonts w:hint="default"/>
        <w:lang w:val="zh-CN" w:eastAsia="zh-CN" w:bidi="zh-CN"/>
      </w:rPr>
    </w:lvl>
    <w:lvl w:ilvl="6" w:tentative="0">
      <w:start w:val="0"/>
      <w:numFmt w:val="bullet"/>
      <w:lvlText w:val="•"/>
      <w:lvlJc w:val="left"/>
      <w:pPr>
        <w:ind w:left="6320" w:hanging="212"/>
      </w:pPr>
      <w:rPr>
        <w:rFonts w:hint="default"/>
        <w:lang w:val="zh-CN" w:eastAsia="zh-CN" w:bidi="zh-CN"/>
      </w:rPr>
    </w:lvl>
    <w:lvl w:ilvl="7" w:tentative="0">
      <w:start w:val="0"/>
      <w:numFmt w:val="bullet"/>
      <w:lvlText w:val="•"/>
      <w:lvlJc w:val="left"/>
      <w:pPr>
        <w:ind w:left="7246" w:hanging="212"/>
      </w:pPr>
      <w:rPr>
        <w:rFonts w:hint="default"/>
        <w:lang w:val="zh-CN" w:eastAsia="zh-CN" w:bidi="zh-CN"/>
      </w:rPr>
    </w:lvl>
    <w:lvl w:ilvl="8" w:tentative="0">
      <w:start w:val="0"/>
      <w:numFmt w:val="bullet"/>
      <w:lvlText w:val="•"/>
      <w:lvlJc w:val="left"/>
      <w:pPr>
        <w:ind w:left="8173" w:hanging="212"/>
      </w:pPr>
      <w:rPr>
        <w:rFonts w:hint="default"/>
        <w:lang w:val="zh-CN" w:eastAsia="zh-CN" w:bidi="zh-CN"/>
      </w:rPr>
    </w:lvl>
  </w:abstractNum>
  <w:abstractNum w:abstractNumId="22">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E35B0DB"/>
    <w:multiLevelType w:val="singleLevel"/>
    <w:tmpl w:val="6E35B0DB"/>
    <w:lvl w:ilvl="0" w:tentative="0">
      <w:start w:val="1"/>
      <w:numFmt w:val="decimal"/>
      <w:suff w:val="nothing"/>
      <w:lvlText w:val="（%1）"/>
      <w:lvlJc w:val="left"/>
    </w:lvl>
  </w:abstractNum>
  <w:abstractNum w:abstractNumId="24">
    <w:nsid w:val="79AA4FA4"/>
    <w:multiLevelType w:val="multilevel"/>
    <w:tmpl w:val="79AA4FA4"/>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1"/>
      <w:numFmt w:val="decimal"/>
      <w:lvlText w:val="%2."/>
      <w:lvlJc w:val="left"/>
      <w:pPr>
        <w:ind w:left="1038" w:hanging="316"/>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038" w:hanging="316"/>
      </w:pPr>
      <w:rPr>
        <w:rFonts w:hint="default"/>
        <w:lang w:val="zh-CN" w:eastAsia="zh-CN" w:bidi="zh-CN"/>
      </w:rPr>
    </w:lvl>
    <w:lvl w:ilvl="3" w:tentative="0">
      <w:start w:val="0"/>
      <w:numFmt w:val="bullet"/>
      <w:lvlText w:val="•"/>
      <w:lvlJc w:val="left"/>
      <w:pPr>
        <w:ind w:left="3037" w:hanging="316"/>
      </w:pPr>
      <w:rPr>
        <w:rFonts w:hint="default"/>
        <w:lang w:val="zh-CN" w:eastAsia="zh-CN" w:bidi="zh-CN"/>
      </w:rPr>
    </w:lvl>
    <w:lvl w:ilvl="4" w:tentative="0">
      <w:start w:val="0"/>
      <w:numFmt w:val="bullet"/>
      <w:lvlText w:val="•"/>
      <w:lvlJc w:val="left"/>
      <w:pPr>
        <w:ind w:left="4035" w:hanging="316"/>
      </w:pPr>
      <w:rPr>
        <w:rFonts w:hint="default"/>
        <w:lang w:val="zh-CN" w:eastAsia="zh-CN" w:bidi="zh-CN"/>
      </w:rPr>
    </w:lvl>
    <w:lvl w:ilvl="5" w:tentative="0">
      <w:start w:val="0"/>
      <w:numFmt w:val="bullet"/>
      <w:lvlText w:val="•"/>
      <w:lvlJc w:val="left"/>
      <w:pPr>
        <w:ind w:left="5034" w:hanging="316"/>
      </w:pPr>
      <w:rPr>
        <w:rFonts w:hint="default"/>
        <w:lang w:val="zh-CN" w:eastAsia="zh-CN" w:bidi="zh-CN"/>
      </w:rPr>
    </w:lvl>
    <w:lvl w:ilvl="6" w:tentative="0">
      <w:start w:val="0"/>
      <w:numFmt w:val="bullet"/>
      <w:lvlText w:val="•"/>
      <w:lvlJc w:val="left"/>
      <w:pPr>
        <w:ind w:left="6032" w:hanging="316"/>
      </w:pPr>
      <w:rPr>
        <w:rFonts w:hint="default"/>
        <w:lang w:val="zh-CN" w:eastAsia="zh-CN" w:bidi="zh-CN"/>
      </w:rPr>
    </w:lvl>
    <w:lvl w:ilvl="7" w:tentative="0">
      <w:start w:val="0"/>
      <w:numFmt w:val="bullet"/>
      <w:lvlText w:val="•"/>
      <w:lvlJc w:val="left"/>
      <w:pPr>
        <w:ind w:left="7031" w:hanging="316"/>
      </w:pPr>
      <w:rPr>
        <w:rFonts w:hint="default"/>
        <w:lang w:val="zh-CN" w:eastAsia="zh-CN" w:bidi="zh-CN"/>
      </w:rPr>
    </w:lvl>
    <w:lvl w:ilvl="8" w:tentative="0">
      <w:start w:val="0"/>
      <w:numFmt w:val="bullet"/>
      <w:lvlText w:val="•"/>
      <w:lvlJc w:val="left"/>
      <w:pPr>
        <w:ind w:left="8029" w:hanging="316"/>
      </w:pPr>
      <w:rPr>
        <w:rFonts w:hint="default"/>
        <w:lang w:val="zh-CN" w:eastAsia="zh-CN" w:bidi="zh-CN"/>
      </w:rPr>
    </w:lvl>
  </w:abstractNum>
  <w:abstractNum w:abstractNumId="25">
    <w:nsid w:val="7C246926"/>
    <w:multiLevelType w:val="multilevel"/>
    <w:tmpl w:val="7C246926"/>
    <w:lvl w:ilvl="0" w:tentative="0">
      <w:start w:val="0"/>
      <w:numFmt w:val="decimal"/>
      <w:lvlText w:val="%1"/>
      <w:lvlJc w:val="left"/>
      <w:pPr>
        <w:ind w:left="396" w:hanging="264"/>
      </w:pPr>
      <w:rPr>
        <w:rFonts w:hint="default"/>
        <w:lang w:val="zh-CN" w:eastAsia="zh-CN" w:bidi="zh-CN"/>
      </w:rPr>
    </w:lvl>
    <w:lvl w:ilvl="1" w:tentative="0">
      <w:start w:val="5"/>
      <w:numFmt w:val="decimal"/>
      <w:lvlText w:val="%1.%2"/>
      <w:lvlJc w:val="left"/>
      <w:pPr>
        <w:ind w:left="396" w:hanging="264"/>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132" w:hanging="527"/>
      </w:pPr>
      <w:rPr>
        <w:rFonts w:hint="default" w:ascii="宋体" w:hAnsi="宋体" w:eastAsia="宋体" w:cs="宋体"/>
        <w:spacing w:val="-22"/>
        <w:w w:val="99"/>
        <w:sz w:val="19"/>
        <w:szCs w:val="19"/>
        <w:lang w:val="zh-CN" w:eastAsia="zh-CN" w:bidi="zh-CN"/>
      </w:rPr>
    </w:lvl>
    <w:lvl w:ilvl="3" w:tentative="0">
      <w:start w:val="0"/>
      <w:numFmt w:val="bullet"/>
      <w:lvlText w:val="•"/>
      <w:lvlJc w:val="left"/>
      <w:pPr>
        <w:ind w:left="2539" w:hanging="527"/>
      </w:pPr>
      <w:rPr>
        <w:rFonts w:hint="default"/>
        <w:lang w:val="zh-CN" w:eastAsia="zh-CN" w:bidi="zh-CN"/>
      </w:rPr>
    </w:lvl>
    <w:lvl w:ilvl="4" w:tentative="0">
      <w:start w:val="0"/>
      <w:numFmt w:val="bullet"/>
      <w:lvlText w:val="•"/>
      <w:lvlJc w:val="left"/>
      <w:pPr>
        <w:ind w:left="3609" w:hanging="527"/>
      </w:pPr>
      <w:rPr>
        <w:rFonts w:hint="default"/>
        <w:lang w:val="zh-CN" w:eastAsia="zh-CN" w:bidi="zh-CN"/>
      </w:rPr>
    </w:lvl>
    <w:lvl w:ilvl="5" w:tentative="0">
      <w:start w:val="0"/>
      <w:numFmt w:val="bullet"/>
      <w:lvlText w:val="•"/>
      <w:lvlJc w:val="left"/>
      <w:pPr>
        <w:ind w:left="4678" w:hanging="527"/>
      </w:pPr>
      <w:rPr>
        <w:rFonts w:hint="default"/>
        <w:lang w:val="zh-CN" w:eastAsia="zh-CN" w:bidi="zh-CN"/>
      </w:rPr>
    </w:lvl>
    <w:lvl w:ilvl="6" w:tentative="0">
      <w:start w:val="0"/>
      <w:numFmt w:val="bullet"/>
      <w:lvlText w:val="•"/>
      <w:lvlJc w:val="left"/>
      <w:pPr>
        <w:ind w:left="5748" w:hanging="527"/>
      </w:pPr>
      <w:rPr>
        <w:rFonts w:hint="default"/>
        <w:lang w:val="zh-CN" w:eastAsia="zh-CN" w:bidi="zh-CN"/>
      </w:rPr>
    </w:lvl>
    <w:lvl w:ilvl="7" w:tentative="0">
      <w:start w:val="0"/>
      <w:numFmt w:val="bullet"/>
      <w:lvlText w:val="•"/>
      <w:lvlJc w:val="left"/>
      <w:pPr>
        <w:ind w:left="6818" w:hanging="527"/>
      </w:pPr>
      <w:rPr>
        <w:rFonts w:hint="default"/>
        <w:lang w:val="zh-CN" w:eastAsia="zh-CN" w:bidi="zh-CN"/>
      </w:rPr>
    </w:lvl>
    <w:lvl w:ilvl="8" w:tentative="0">
      <w:start w:val="0"/>
      <w:numFmt w:val="bullet"/>
      <w:lvlText w:val="•"/>
      <w:lvlJc w:val="left"/>
      <w:pPr>
        <w:ind w:left="7887" w:hanging="527"/>
      </w:pPr>
      <w:rPr>
        <w:rFonts w:hint="default"/>
        <w:lang w:val="zh-CN" w:eastAsia="zh-CN" w:bidi="zh-CN"/>
      </w:rPr>
    </w:lvl>
  </w:abstractNum>
  <w:num w:numId="1">
    <w:abstractNumId w:val="22"/>
  </w:num>
  <w:num w:numId="2">
    <w:abstractNumId w:val="2"/>
  </w:num>
  <w:num w:numId="3">
    <w:abstractNumId w:val="23"/>
  </w:num>
  <w:num w:numId="4">
    <w:abstractNumId w:val="9"/>
  </w:num>
  <w:num w:numId="5">
    <w:abstractNumId w:val="21"/>
  </w:num>
  <w:num w:numId="6">
    <w:abstractNumId w:val="5"/>
  </w:num>
  <w:num w:numId="7">
    <w:abstractNumId w:val="16"/>
  </w:num>
  <w:num w:numId="8">
    <w:abstractNumId w:val="17"/>
  </w:num>
  <w:num w:numId="9">
    <w:abstractNumId w:val="6"/>
  </w:num>
  <w:num w:numId="10">
    <w:abstractNumId w:val="25"/>
  </w:num>
  <w:num w:numId="11">
    <w:abstractNumId w:val="0"/>
  </w:num>
  <w:num w:numId="12">
    <w:abstractNumId w:val="14"/>
  </w:num>
  <w:num w:numId="13">
    <w:abstractNumId w:val="18"/>
  </w:num>
  <w:num w:numId="14">
    <w:abstractNumId w:val="12"/>
  </w:num>
  <w:num w:numId="15">
    <w:abstractNumId w:val="11"/>
  </w:num>
  <w:num w:numId="16">
    <w:abstractNumId w:val="15"/>
  </w:num>
  <w:num w:numId="17">
    <w:abstractNumId w:val="24"/>
  </w:num>
  <w:num w:numId="18">
    <w:abstractNumId w:val="8"/>
  </w:num>
  <w:num w:numId="19">
    <w:abstractNumId w:val="4"/>
  </w:num>
  <w:num w:numId="20">
    <w:abstractNumId w:val="7"/>
  </w:num>
  <w:num w:numId="21">
    <w:abstractNumId w:val="19"/>
  </w:num>
  <w:num w:numId="22">
    <w:abstractNumId w:val="1"/>
  </w:num>
  <w:num w:numId="23">
    <w:abstractNumId w:val="13"/>
  </w:num>
  <w:num w:numId="24">
    <w:abstractNumId w:val="3"/>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2C4449"/>
    <w:rsid w:val="00501EE6"/>
    <w:rsid w:val="00814795"/>
    <w:rsid w:val="009A13B3"/>
    <w:rsid w:val="00BE1545"/>
    <w:rsid w:val="00EB7E60"/>
    <w:rsid w:val="01086C64"/>
    <w:rsid w:val="016D6AC7"/>
    <w:rsid w:val="019978BC"/>
    <w:rsid w:val="01DB1C83"/>
    <w:rsid w:val="02274EC8"/>
    <w:rsid w:val="02477318"/>
    <w:rsid w:val="033124A2"/>
    <w:rsid w:val="03727718"/>
    <w:rsid w:val="03B46C2F"/>
    <w:rsid w:val="04141A3F"/>
    <w:rsid w:val="04195533"/>
    <w:rsid w:val="04CE650E"/>
    <w:rsid w:val="04E452F2"/>
    <w:rsid w:val="04E9233C"/>
    <w:rsid w:val="050B0AD1"/>
    <w:rsid w:val="05176135"/>
    <w:rsid w:val="052C7344"/>
    <w:rsid w:val="05461B09"/>
    <w:rsid w:val="055F2BCB"/>
    <w:rsid w:val="05997E8B"/>
    <w:rsid w:val="05A607FA"/>
    <w:rsid w:val="05B747B5"/>
    <w:rsid w:val="06420522"/>
    <w:rsid w:val="068B011B"/>
    <w:rsid w:val="06B74A9B"/>
    <w:rsid w:val="06D82C35"/>
    <w:rsid w:val="07035F04"/>
    <w:rsid w:val="075229E7"/>
    <w:rsid w:val="0797664C"/>
    <w:rsid w:val="07E61381"/>
    <w:rsid w:val="07ED2710"/>
    <w:rsid w:val="08DC4C5E"/>
    <w:rsid w:val="08EC0C19"/>
    <w:rsid w:val="091361A6"/>
    <w:rsid w:val="092D4411"/>
    <w:rsid w:val="0946657C"/>
    <w:rsid w:val="09595CA6"/>
    <w:rsid w:val="09664528"/>
    <w:rsid w:val="09D516AE"/>
    <w:rsid w:val="09E7269C"/>
    <w:rsid w:val="0A5E78F5"/>
    <w:rsid w:val="0ADA51CD"/>
    <w:rsid w:val="0B0E4E77"/>
    <w:rsid w:val="0B422D73"/>
    <w:rsid w:val="0B460AB5"/>
    <w:rsid w:val="0B81389B"/>
    <w:rsid w:val="0BBF2615"/>
    <w:rsid w:val="0C193AD3"/>
    <w:rsid w:val="0C363BBB"/>
    <w:rsid w:val="0CC003F3"/>
    <w:rsid w:val="0D0C188A"/>
    <w:rsid w:val="0D1644B7"/>
    <w:rsid w:val="0D584ACF"/>
    <w:rsid w:val="0D8025B2"/>
    <w:rsid w:val="0D8A1A1C"/>
    <w:rsid w:val="0DA970D9"/>
    <w:rsid w:val="0E087853"/>
    <w:rsid w:val="0E107158"/>
    <w:rsid w:val="0E793654"/>
    <w:rsid w:val="0EA0672E"/>
    <w:rsid w:val="0EAD49A7"/>
    <w:rsid w:val="0F476BAA"/>
    <w:rsid w:val="0FC34DB9"/>
    <w:rsid w:val="0FDC19E8"/>
    <w:rsid w:val="0FF4212F"/>
    <w:rsid w:val="109B0021"/>
    <w:rsid w:val="10CB7366"/>
    <w:rsid w:val="10E358A3"/>
    <w:rsid w:val="11A34BB5"/>
    <w:rsid w:val="11C837A6"/>
    <w:rsid w:val="11F03528"/>
    <w:rsid w:val="127F48AC"/>
    <w:rsid w:val="128123D2"/>
    <w:rsid w:val="12AF5192"/>
    <w:rsid w:val="12DD7CF9"/>
    <w:rsid w:val="12F9640D"/>
    <w:rsid w:val="13207E3D"/>
    <w:rsid w:val="139B3968"/>
    <w:rsid w:val="13FB7F63"/>
    <w:rsid w:val="143F42F3"/>
    <w:rsid w:val="1457788F"/>
    <w:rsid w:val="14661880"/>
    <w:rsid w:val="14832432"/>
    <w:rsid w:val="14CA62B3"/>
    <w:rsid w:val="15063063"/>
    <w:rsid w:val="153B4ABB"/>
    <w:rsid w:val="15E6057A"/>
    <w:rsid w:val="16024611"/>
    <w:rsid w:val="16041350"/>
    <w:rsid w:val="163A2FC4"/>
    <w:rsid w:val="167D1103"/>
    <w:rsid w:val="17EE05AF"/>
    <w:rsid w:val="18475E6C"/>
    <w:rsid w:val="185145F5"/>
    <w:rsid w:val="185540E5"/>
    <w:rsid w:val="18B36492"/>
    <w:rsid w:val="18B3705E"/>
    <w:rsid w:val="1A0A5541"/>
    <w:rsid w:val="1A6C3968"/>
    <w:rsid w:val="1B813443"/>
    <w:rsid w:val="1BA01B1B"/>
    <w:rsid w:val="1BE45119"/>
    <w:rsid w:val="1C026332"/>
    <w:rsid w:val="1C1918CE"/>
    <w:rsid w:val="1C2344FA"/>
    <w:rsid w:val="1C545A69"/>
    <w:rsid w:val="1C8E5E18"/>
    <w:rsid w:val="1D1D0F4A"/>
    <w:rsid w:val="1D1E3640"/>
    <w:rsid w:val="1D4666F2"/>
    <w:rsid w:val="1DAD0520"/>
    <w:rsid w:val="1DB86A1B"/>
    <w:rsid w:val="1E2A6014"/>
    <w:rsid w:val="1EDB10BC"/>
    <w:rsid w:val="1EF6206B"/>
    <w:rsid w:val="1FA37E2C"/>
    <w:rsid w:val="1FD51FBA"/>
    <w:rsid w:val="1FE3647B"/>
    <w:rsid w:val="20014B53"/>
    <w:rsid w:val="20555776"/>
    <w:rsid w:val="206D3F96"/>
    <w:rsid w:val="20EF4AE4"/>
    <w:rsid w:val="21026DD4"/>
    <w:rsid w:val="2136082C"/>
    <w:rsid w:val="21425423"/>
    <w:rsid w:val="21DF2C54"/>
    <w:rsid w:val="22BA2606"/>
    <w:rsid w:val="23056708"/>
    <w:rsid w:val="230C4FE5"/>
    <w:rsid w:val="2338088B"/>
    <w:rsid w:val="23563399"/>
    <w:rsid w:val="23A3664D"/>
    <w:rsid w:val="23E12CD1"/>
    <w:rsid w:val="24134E54"/>
    <w:rsid w:val="25551CCF"/>
    <w:rsid w:val="255C595F"/>
    <w:rsid w:val="257638ED"/>
    <w:rsid w:val="268B051B"/>
    <w:rsid w:val="26A5448A"/>
    <w:rsid w:val="26CB1A16"/>
    <w:rsid w:val="26D60AE7"/>
    <w:rsid w:val="271E2432"/>
    <w:rsid w:val="27225ADA"/>
    <w:rsid w:val="2762237B"/>
    <w:rsid w:val="277125BE"/>
    <w:rsid w:val="27930786"/>
    <w:rsid w:val="281B1228"/>
    <w:rsid w:val="281E2746"/>
    <w:rsid w:val="281F201A"/>
    <w:rsid w:val="288527C5"/>
    <w:rsid w:val="28C5755F"/>
    <w:rsid w:val="29634188"/>
    <w:rsid w:val="29D86924"/>
    <w:rsid w:val="2A6D1762"/>
    <w:rsid w:val="2A7025D5"/>
    <w:rsid w:val="2A951BB0"/>
    <w:rsid w:val="2AF53506"/>
    <w:rsid w:val="2AFE23BA"/>
    <w:rsid w:val="2BEA293F"/>
    <w:rsid w:val="2C161986"/>
    <w:rsid w:val="2D246966"/>
    <w:rsid w:val="2D2A393B"/>
    <w:rsid w:val="2D713318"/>
    <w:rsid w:val="2D940396"/>
    <w:rsid w:val="2D947006"/>
    <w:rsid w:val="2E70537D"/>
    <w:rsid w:val="2EEB0EA8"/>
    <w:rsid w:val="2F3960B7"/>
    <w:rsid w:val="2FE06533"/>
    <w:rsid w:val="2FF344B8"/>
    <w:rsid w:val="300E12F2"/>
    <w:rsid w:val="3089622F"/>
    <w:rsid w:val="30B17ECF"/>
    <w:rsid w:val="310224D9"/>
    <w:rsid w:val="31175F84"/>
    <w:rsid w:val="31321010"/>
    <w:rsid w:val="316D3DF6"/>
    <w:rsid w:val="321A25A2"/>
    <w:rsid w:val="3264344B"/>
    <w:rsid w:val="32794A1C"/>
    <w:rsid w:val="32EE540A"/>
    <w:rsid w:val="33050628"/>
    <w:rsid w:val="33811DDB"/>
    <w:rsid w:val="33837901"/>
    <w:rsid w:val="33EA3E24"/>
    <w:rsid w:val="34190265"/>
    <w:rsid w:val="344352E2"/>
    <w:rsid w:val="34E268A9"/>
    <w:rsid w:val="353319EB"/>
    <w:rsid w:val="3575596F"/>
    <w:rsid w:val="357C4F4F"/>
    <w:rsid w:val="3588025C"/>
    <w:rsid w:val="35951B6D"/>
    <w:rsid w:val="35CD1307"/>
    <w:rsid w:val="35ED4484"/>
    <w:rsid w:val="36174C78"/>
    <w:rsid w:val="36A55DE0"/>
    <w:rsid w:val="36BB1AA7"/>
    <w:rsid w:val="37865C12"/>
    <w:rsid w:val="37E961A0"/>
    <w:rsid w:val="380354B4"/>
    <w:rsid w:val="38481119"/>
    <w:rsid w:val="385242CE"/>
    <w:rsid w:val="388008B3"/>
    <w:rsid w:val="38BD5663"/>
    <w:rsid w:val="3902576C"/>
    <w:rsid w:val="39406294"/>
    <w:rsid w:val="396326E3"/>
    <w:rsid w:val="39D4535A"/>
    <w:rsid w:val="3A39340F"/>
    <w:rsid w:val="3A3951BD"/>
    <w:rsid w:val="3A3C6A5B"/>
    <w:rsid w:val="3A3E1E92"/>
    <w:rsid w:val="3AAA60BB"/>
    <w:rsid w:val="3AAF1923"/>
    <w:rsid w:val="3AB34E62"/>
    <w:rsid w:val="3AC70A1B"/>
    <w:rsid w:val="3B2714BA"/>
    <w:rsid w:val="3B846744"/>
    <w:rsid w:val="3BD80A06"/>
    <w:rsid w:val="3BDA477E"/>
    <w:rsid w:val="3BFF5F92"/>
    <w:rsid w:val="3C0C301D"/>
    <w:rsid w:val="3C3F0A85"/>
    <w:rsid w:val="3C4D6CFE"/>
    <w:rsid w:val="3D785FFC"/>
    <w:rsid w:val="3D820C29"/>
    <w:rsid w:val="3DB1150E"/>
    <w:rsid w:val="3DFE36C4"/>
    <w:rsid w:val="3E1D6BA4"/>
    <w:rsid w:val="3EBC249E"/>
    <w:rsid w:val="3EC86B10"/>
    <w:rsid w:val="3EF9046A"/>
    <w:rsid w:val="3F033FEC"/>
    <w:rsid w:val="3F7E3672"/>
    <w:rsid w:val="3F93536F"/>
    <w:rsid w:val="3FA05713"/>
    <w:rsid w:val="3FA45CA5"/>
    <w:rsid w:val="3FEF0F2D"/>
    <w:rsid w:val="3FFB4CC3"/>
    <w:rsid w:val="40026051"/>
    <w:rsid w:val="40344679"/>
    <w:rsid w:val="407B7770"/>
    <w:rsid w:val="40D13286"/>
    <w:rsid w:val="40D7128C"/>
    <w:rsid w:val="40F97454"/>
    <w:rsid w:val="41CA4968"/>
    <w:rsid w:val="42312C1E"/>
    <w:rsid w:val="42664FBD"/>
    <w:rsid w:val="42866C31"/>
    <w:rsid w:val="42D02437"/>
    <w:rsid w:val="42EB5C2E"/>
    <w:rsid w:val="43B104BA"/>
    <w:rsid w:val="43C26223"/>
    <w:rsid w:val="43FC0A52"/>
    <w:rsid w:val="4466056F"/>
    <w:rsid w:val="448434D9"/>
    <w:rsid w:val="44DD2BBF"/>
    <w:rsid w:val="44E41C42"/>
    <w:rsid w:val="454F231A"/>
    <w:rsid w:val="46503FBA"/>
    <w:rsid w:val="46BA1434"/>
    <w:rsid w:val="46D71FE6"/>
    <w:rsid w:val="46E57892"/>
    <w:rsid w:val="47777325"/>
    <w:rsid w:val="47867568"/>
    <w:rsid w:val="479D00BE"/>
    <w:rsid w:val="47C4311A"/>
    <w:rsid w:val="48275288"/>
    <w:rsid w:val="488F3E82"/>
    <w:rsid w:val="491C0184"/>
    <w:rsid w:val="497B0C92"/>
    <w:rsid w:val="49D4280C"/>
    <w:rsid w:val="49F677CD"/>
    <w:rsid w:val="4A0F5F3A"/>
    <w:rsid w:val="4A3621F5"/>
    <w:rsid w:val="4A5B2F2E"/>
    <w:rsid w:val="4AB368C6"/>
    <w:rsid w:val="4AB97C54"/>
    <w:rsid w:val="4AEB42B2"/>
    <w:rsid w:val="4AEE78FE"/>
    <w:rsid w:val="4B5827D7"/>
    <w:rsid w:val="4D3A507C"/>
    <w:rsid w:val="4D573E80"/>
    <w:rsid w:val="4D68579D"/>
    <w:rsid w:val="4DA60964"/>
    <w:rsid w:val="4E523393"/>
    <w:rsid w:val="4E8A2033"/>
    <w:rsid w:val="4F4A3DFE"/>
    <w:rsid w:val="4F50502B"/>
    <w:rsid w:val="4F564F05"/>
    <w:rsid w:val="4FB25956"/>
    <w:rsid w:val="4FD131C1"/>
    <w:rsid w:val="4FD24B69"/>
    <w:rsid w:val="50531EBA"/>
    <w:rsid w:val="50CD3EF7"/>
    <w:rsid w:val="51266011"/>
    <w:rsid w:val="52293911"/>
    <w:rsid w:val="52E33AC0"/>
    <w:rsid w:val="533267F6"/>
    <w:rsid w:val="54106B37"/>
    <w:rsid w:val="54210D44"/>
    <w:rsid w:val="54E51D72"/>
    <w:rsid w:val="551B5793"/>
    <w:rsid w:val="55881DC4"/>
    <w:rsid w:val="55AC0F70"/>
    <w:rsid w:val="55B47996"/>
    <w:rsid w:val="56D025AE"/>
    <w:rsid w:val="57A06424"/>
    <w:rsid w:val="57AC6B77"/>
    <w:rsid w:val="580C1D0B"/>
    <w:rsid w:val="586B07E0"/>
    <w:rsid w:val="588452E6"/>
    <w:rsid w:val="58F05189"/>
    <w:rsid w:val="5906675A"/>
    <w:rsid w:val="59084281"/>
    <w:rsid w:val="595C637A"/>
    <w:rsid w:val="5A2A0227"/>
    <w:rsid w:val="5A9F0C15"/>
    <w:rsid w:val="5B4326B1"/>
    <w:rsid w:val="5BA25496"/>
    <w:rsid w:val="5BB57FC4"/>
    <w:rsid w:val="5BE61CEF"/>
    <w:rsid w:val="5BEC7E8A"/>
    <w:rsid w:val="5CF039A9"/>
    <w:rsid w:val="5D2B6790"/>
    <w:rsid w:val="5DA449ED"/>
    <w:rsid w:val="5DEF5A0F"/>
    <w:rsid w:val="5E1216FE"/>
    <w:rsid w:val="5F1C521A"/>
    <w:rsid w:val="5FD650D9"/>
    <w:rsid w:val="5FDB00E1"/>
    <w:rsid w:val="60367925"/>
    <w:rsid w:val="6054424F"/>
    <w:rsid w:val="60856CFC"/>
    <w:rsid w:val="608E59B3"/>
    <w:rsid w:val="60B82A30"/>
    <w:rsid w:val="61306A6A"/>
    <w:rsid w:val="61840B64"/>
    <w:rsid w:val="61882403"/>
    <w:rsid w:val="618878D5"/>
    <w:rsid w:val="618E4F17"/>
    <w:rsid w:val="621B3277"/>
    <w:rsid w:val="633C4B9E"/>
    <w:rsid w:val="63770981"/>
    <w:rsid w:val="650C50F9"/>
    <w:rsid w:val="65387C9C"/>
    <w:rsid w:val="658B3D34"/>
    <w:rsid w:val="66106E6A"/>
    <w:rsid w:val="66122143"/>
    <w:rsid w:val="66232CA1"/>
    <w:rsid w:val="66772A46"/>
    <w:rsid w:val="66B2541B"/>
    <w:rsid w:val="66D17A24"/>
    <w:rsid w:val="66F916AD"/>
    <w:rsid w:val="6703077D"/>
    <w:rsid w:val="67073DC9"/>
    <w:rsid w:val="68802085"/>
    <w:rsid w:val="68C33D20"/>
    <w:rsid w:val="68D35393"/>
    <w:rsid w:val="69076303"/>
    <w:rsid w:val="69A50C33"/>
    <w:rsid w:val="69AA4EE0"/>
    <w:rsid w:val="69BB0E9B"/>
    <w:rsid w:val="69D56401"/>
    <w:rsid w:val="6A294057"/>
    <w:rsid w:val="6A570BC4"/>
    <w:rsid w:val="6BC353B3"/>
    <w:rsid w:val="6C240F7A"/>
    <w:rsid w:val="6C7F2654"/>
    <w:rsid w:val="6CAE4CE7"/>
    <w:rsid w:val="6CD10307"/>
    <w:rsid w:val="6CE5498B"/>
    <w:rsid w:val="6D0B3EE8"/>
    <w:rsid w:val="6D2C27DC"/>
    <w:rsid w:val="6DD10C8D"/>
    <w:rsid w:val="6E0C7F17"/>
    <w:rsid w:val="6E641B01"/>
    <w:rsid w:val="6EA91C0A"/>
    <w:rsid w:val="6EB04D47"/>
    <w:rsid w:val="6F1F0A56"/>
    <w:rsid w:val="701F03D6"/>
    <w:rsid w:val="718B6FBF"/>
    <w:rsid w:val="71D06CC9"/>
    <w:rsid w:val="723C2C0B"/>
    <w:rsid w:val="725E4ABA"/>
    <w:rsid w:val="72CA5205"/>
    <w:rsid w:val="72E415CF"/>
    <w:rsid w:val="73081ADA"/>
    <w:rsid w:val="73AB01D2"/>
    <w:rsid w:val="73B21561"/>
    <w:rsid w:val="73BB6668"/>
    <w:rsid w:val="749D1CB5"/>
    <w:rsid w:val="74AA048A"/>
    <w:rsid w:val="74AF5AA0"/>
    <w:rsid w:val="74B96C79"/>
    <w:rsid w:val="74FF3F7F"/>
    <w:rsid w:val="754D1541"/>
    <w:rsid w:val="764010A6"/>
    <w:rsid w:val="767D7C04"/>
    <w:rsid w:val="76A72ED3"/>
    <w:rsid w:val="777803CC"/>
    <w:rsid w:val="77D20625"/>
    <w:rsid w:val="7808242B"/>
    <w:rsid w:val="78252301"/>
    <w:rsid w:val="782D11B6"/>
    <w:rsid w:val="78C966FA"/>
    <w:rsid w:val="7940309D"/>
    <w:rsid w:val="795412B5"/>
    <w:rsid w:val="79BD47BC"/>
    <w:rsid w:val="79C76953"/>
    <w:rsid w:val="7A13170C"/>
    <w:rsid w:val="7A862E00"/>
    <w:rsid w:val="7B3C3EB9"/>
    <w:rsid w:val="7B564EC8"/>
    <w:rsid w:val="7B9D56C8"/>
    <w:rsid w:val="7BEB5610"/>
    <w:rsid w:val="7BED75DA"/>
    <w:rsid w:val="7BEF7A3C"/>
    <w:rsid w:val="7C22507F"/>
    <w:rsid w:val="7C5B46DC"/>
    <w:rsid w:val="7C9537CE"/>
    <w:rsid w:val="7CDB6F02"/>
    <w:rsid w:val="7CF44998"/>
    <w:rsid w:val="7D052701"/>
    <w:rsid w:val="7D690EE2"/>
    <w:rsid w:val="7DAC5273"/>
    <w:rsid w:val="7E0E3838"/>
    <w:rsid w:val="7E891A79"/>
    <w:rsid w:val="7EBC63B3"/>
    <w:rsid w:val="7F385010"/>
    <w:rsid w:val="7F531E4A"/>
    <w:rsid w:val="7F6776A3"/>
    <w:rsid w:val="7F7334F9"/>
    <w:rsid w:val="7F8D69DE"/>
    <w:rsid w:val="7F8F2756"/>
    <w:rsid w:val="7FD0126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31"/>
    <w:qFormat/>
    <w:uiPriority w:val="0"/>
    <w:pPr>
      <w:spacing w:before="240" w:after="60"/>
      <w:jc w:val="center"/>
      <w:outlineLvl w:val="0"/>
    </w:pPr>
    <w:rPr>
      <w:rFonts w:ascii="等线 Light" w:hAnsi="等线 Light"/>
      <w:b/>
      <w:bCs/>
      <w:sz w:val="32"/>
      <w:szCs w:val="32"/>
    </w:r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Table Paragraph"/>
    <w:basedOn w:val="1"/>
    <w:qFormat/>
    <w:uiPriority w:val="1"/>
    <w:rPr>
      <w:rFonts w:ascii="宋体" w:hAnsi="宋体" w:eastAsia="宋体" w:cs="宋体"/>
      <w:lang w:val="zh-CN" w:eastAsia="zh-CN" w:bidi="zh-CN"/>
    </w:rPr>
  </w:style>
  <w:style w:type="paragraph" w:styleId="29">
    <w:name w:val="List Paragraph"/>
    <w:basedOn w:val="1"/>
    <w:qFormat/>
    <w:uiPriority w:val="1"/>
    <w:pPr>
      <w:ind w:left="212" w:hanging="486"/>
    </w:pPr>
    <w:rPr>
      <w:rFonts w:ascii="宋体" w:hAnsi="宋体" w:eastAsia="宋体" w:cs="宋体"/>
      <w:lang w:val="zh-CN" w:eastAsia="zh-CN" w:bidi="zh-CN"/>
    </w:rPr>
  </w:style>
  <w:style w:type="paragraph" w:customStyle="1" w:styleId="30">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1">
    <w:name w:val="标题 Char"/>
    <w:link w:val="13"/>
    <w:qFormat/>
    <w:uiPriority w:val="0"/>
    <w:rPr>
      <w:rFonts w:ascii="等线 Light" w:hAnsi="等线 Light"/>
      <w:b/>
      <w:bCs/>
      <w:sz w:val="32"/>
      <w:szCs w:val="32"/>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10331</Words>
  <Characters>11119</Characters>
  <Lines>1</Lines>
  <Paragraphs>1</Paragraphs>
  <TotalTime>3</TotalTime>
  <ScaleCrop>false</ScaleCrop>
  <LinksUpToDate>false</LinksUpToDate>
  <CharactersWithSpaces>11619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岁月静好</cp:lastModifiedBy>
  <dcterms:modified xsi:type="dcterms:W3CDTF">2025-07-28T08:04:53Z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82E1F04E75FC4DCAAA2658BBD35BBD5C_13</vt:lpwstr>
  </property>
  <property fmtid="{D5CDD505-2E9C-101B-9397-08002B2CF9AE}" pid="4" name="KSOTemplateDocerSaveRecord">
    <vt:lpwstr>eyJoZGlkIjoiMGNmMjdhZDc1ZmMxOTNiMmVhZTRhNGRjMzg5ZTIwYzAiLCJ1c2VySWQiOiIyNTM2MDY3MDQifQ==</vt:lpwstr>
  </property>
</Properties>
</file>