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ascii="方正小标宋_GBK" w:hAnsi="方正小标宋_GBK" w:eastAsia="方正小标宋_GBK" w:cs="方正小标宋_GBK"/>
          <w:bCs/>
          <w:sz w:val="44"/>
          <w:szCs w:val="44"/>
        </w:rPr>
      </w:pPr>
    </w:p>
    <w:p>
      <w:pPr>
        <w:adjustRightInd w:val="0"/>
        <w:snapToGrid w:val="0"/>
        <w:spacing w:line="520" w:lineRule="exact"/>
        <w:jc w:val="center"/>
        <w:rPr>
          <w:rFonts w:hint="eastAsia" w:ascii="宋体" w:hAnsi="宋体" w:eastAsia="宋体" w:cs="宋体"/>
          <w:bCs/>
          <w:sz w:val="44"/>
          <w:szCs w:val="44"/>
        </w:rPr>
      </w:pPr>
      <w:r>
        <w:rPr>
          <w:rFonts w:hint="eastAsia" w:ascii="宋体" w:hAnsi="宋体" w:eastAsia="宋体" w:cs="宋体"/>
          <w:bCs/>
          <w:sz w:val="44"/>
          <w:szCs w:val="44"/>
        </w:rPr>
        <w:t>摩围观唐全案资产联合运营代理</w:t>
      </w:r>
    </w:p>
    <w:p>
      <w:pPr>
        <w:adjustRightInd w:val="0"/>
        <w:snapToGrid w:val="0"/>
        <w:spacing w:line="520" w:lineRule="exact"/>
        <w:jc w:val="center"/>
        <w:rPr>
          <w:rFonts w:ascii="方正小标宋_GBK" w:hAnsi="方正小标宋_GBK" w:eastAsia="方正小标宋_GBK" w:cs="方正小标宋_GBK"/>
          <w:b/>
          <w:sz w:val="84"/>
          <w:szCs w:val="84"/>
        </w:rPr>
      </w:pPr>
    </w:p>
    <w:p>
      <w:pPr>
        <w:adjustRightInd w:val="0"/>
        <w:snapToGrid w:val="0"/>
        <w:spacing w:line="520" w:lineRule="exact"/>
        <w:jc w:val="center"/>
        <w:rPr>
          <w:rFonts w:ascii="方正小标宋_GBK" w:hAnsi="方正小标宋_GBK" w:eastAsia="方正小标宋_GBK" w:cs="方正小标宋_GBK"/>
          <w:b/>
          <w:sz w:val="84"/>
          <w:szCs w:val="84"/>
        </w:rPr>
      </w:pPr>
    </w:p>
    <w:p>
      <w:pPr>
        <w:pStyle w:val="3"/>
        <w:rPr>
          <w:rFonts w:ascii="方正小标宋_GBK" w:hAnsi="方正小标宋_GBK" w:eastAsia="方正小标宋_GBK" w:cs="方正小标宋_GBK"/>
          <w:sz w:val="84"/>
          <w:szCs w:val="84"/>
        </w:rPr>
      </w:pPr>
    </w:p>
    <w:p>
      <w:pPr>
        <w:pStyle w:val="3"/>
        <w:jc w:val="center"/>
        <w:rPr>
          <w:rFonts w:hint="eastAsia" w:ascii="宋体" w:hAnsi="宋体" w:eastAsia="宋体" w:cs="宋体"/>
          <w:b w:val="0"/>
          <w:bCs/>
          <w:sz w:val="84"/>
          <w:szCs w:val="84"/>
        </w:rPr>
      </w:pPr>
      <w:r>
        <w:rPr>
          <w:rFonts w:hint="eastAsia" w:ascii="宋体" w:hAnsi="宋体" w:eastAsia="宋体" w:cs="宋体"/>
          <w:b w:val="0"/>
          <w:bCs/>
          <w:sz w:val="84"/>
          <w:szCs w:val="84"/>
        </w:rPr>
        <w:t>竞争性谈判比选方案</w:t>
      </w:r>
    </w:p>
    <w:p>
      <w:pPr>
        <w:rPr>
          <w:rFonts w:ascii="方正小标宋_GBK" w:hAnsi="方正小标宋_GBK" w:eastAsia="方正小标宋_GBK" w:cs="方正小标宋_GBK"/>
          <w:bCs/>
          <w:sz w:val="84"/>
          <w:szCs w:val="84"/>
        </w:rPr>
      </w:pPr>
    </w:p>
    <w:p>
      <w:pPr>
        <w:adjustRightInd w:val="0"/>
        <w:snapToGrid w:val="0"/>
        <w:spacing w:line="520" w:lineRule="exact"/>
        <w:ind w:firstLine="1920" w:firstLineChars="600"/>
        <w:rPr>
          <w:rFonts w:hint="eastAsia" w:ascii="宋体" w:hAnsi="宋体" w:eastAsia="宋体" w:cs="宋体"/>
          <w:bCs/>
          <w:sz w:val="32"/>
          <w:szCs w:val="32"/>
        </w:rPr>
      </w:pPr>
      <w:r>
        <w:rPr>
          <w:rFonts w:hint="eastAsia" w:ascii="宋体" w:hAnsi="宋体" w:eastAsia="宋体" w:cs="宋体"/>
          <w:bCs/>
          <w:sz w:val="32"/>
          <w:szCs w:val="32"/>
        </w:rPr>
        <w:t>项目名称：摩围观唐全案资产联合运营代理</w:t>
      </w:r>
    </w:p>
    <w:p>
      <w:pPr>
        <w:adjustRightInd w:val="0"/>
        <w:snapToGrid w:val="0"/>
        <w:spacing w:line="520" w:lineRule="exact"/>
        <w:jc w:val="center"/>
        <w:rPr>
          <w:rFonts w:hint="eastAsia" w:ascii="宋体" w:hAnsi="宋体" w:eastAsia="宋体" w:cs="宋体"/>
          <w:bCs/>
          <w:sz w:val="32"/>
          <w:szCs w:val="32"/>
        </w:rPr>
      </w:pPr>
    </w:p>
    <w:p>
      <w:pPr>
        <w:adjustRightInd w:val="0"/>
        <w:snapToGrid w:val="0"/>
        <w:spacing w:line="520" w:lineRule="exact"/>
        <w:ind w:firstLine="1920" w:firstLineChars="600"/>
        <w:rPr>
          <w:rFonts w:hint="eastAsia" w:ascii="宋体" w:hAnsi="宋体" w:eastAsia="宋体" w:cs="宋体"/>
          <w:bCs/>
          <w:sz w:val="32"/>
          <w:szCs w:val="32"/>
        </w:rPr>
      </w:pPr>
      <w:r>
        <w:rPr>
          <w:rFonts w:hint="eastAsia" w:ascii="宋体" w:hAnsi="宋体" w:eastAsia="宋体" w:cs="宋体"/>
          <w:bCs/>
          <w:sz w:val="32"/>
          <w:szCs w:val="32"/>
        </w:rPr>
        <w:t>比 选 人：彭水县摩围山旅游开发有限公司</w:t>
      </w:r>
    </w:p>
    <w:p>
      <w:pPr>
        <w:adjustRightInd w:val="0"/>
        <w:snapToGrid w:val="0"/>
        <w:spacing w:line="520" w:lineRule="exact"/>
        <w:ind w:firstLine="1920" w:firstLineChars="600"/>
        <w:rPr>
          <w:rFonts w:hint="eastAsia" w:ascii="宋体" w:hAnsi="宋体" w:eastAsia="宋体" w:cs="宋体"/>
          <w:bCs/>
          <w:sz w:val="32"/>
          <w:szCs w:val="32"/>
        </w:rPr>
      </w:pPr>
    </w:p>
    <w:p>
      <w:pPr>
        <w:adjustRightInd w:val="0"/>
        <w:snapToGrid w:val="0"/>
        <w:spacing w:line="520" w:lineRule="exact"/>
        <w:ind w:firstLine="1920" w:firstLineChars="600"/>
        <w:rPr>
          <w:rFonts w:hint="eastAsia" w:ascii="宋体" w:hAnsi="宋体" w:eastAsia="宋体" w:cs="宋体"/>
          <w:bCs/>
          <w:sz w:val="32"/>
          <w:szCs w:val="32"/>
        </w:rPr>
      </w:pPr>
    </w:p>
    <w:p>
      <w:pPr>
        <w:adjustRightInd w:val="0"/>
        <w:snapToGrid w:val="0"/>
        <w:spacing w:line="520" w:lineRule="exact"/>
        <w:jc w:val="center"/>
        <w:rPr>
          <w:rFonts w:hint="eastAsia" w:ascii="宋体" w:hAnsi="宋体" w:eastAsia="宋体" w:cs="宋体"/>
          <w:bCs/>
          <w:sz w:val="32"/>
          <w:szCs w:val="32"/>
        </w:rPr>
      </w:pPr>
      <w:r>
        <w:rPr>
          <w:rFonts w:hint="eastAsia" w:ascii="宋体" w:hAnsi="宋体" w:eastAsia="宋体" w:cs="宋体"/>
          <w:bCs/>
          <w:sz w:val="32"/>
          <w:szCs w:val="32"/>
        </w:rPr>
        <w:t>二零二一年五月二十四日</w:t>
      </w:r>
    </w:p>
    <w:p>
      <w:pPr>
        <w:rPr>
          <w:rFonts w:ascii="方正小标宋_GBK" w:hAnsi="方正小标宋_GBK" w:eastAsia="方正小标宋_GBK" w:cs="方正小标宋_GBK"/>
          <w:bCs/>
          <w:sz w:val="84"/>
          <w:szCs w:val="84"/>
        </w:rPr>
      </w:pPr>
    </w:p>
    <w:p>
      <w:pPr>
        <w:pStyle w:val="2"/>
      </w:pPr>
    </w:p>
    <w:p>
      <w:pPr>
        <w:adjustRightInd w:val="0"/>
        <w:snapToGrid w:val="0"/>
        <w:spacing w:line="520" w:lineRule="exact"/>
        <w:jc w:val="left"/>
        <w:rPr>
          <w:rFonts w:ascii="宋体"/>
          <w:sz w:val="24"/>
        </w:rPr>
      </w:pPr>
    </w:p>
    <w:p>
      <w:pPr>
        <w:adjustRightInd w:val="0"/>
        <w:snapToGrid w:val="0"/>
        <w:spacing w:line="520" w:lineRule="exact"/>
        <w:jc w:val="left"/>
        <w:rPr>
          <w:rFonts w:ascii="宋体"/>
          <w:sz w:val="24"/>
        </w:rPr>
      </w:pPr>
    </w:p>
    <w:p>
      <w:pPr>
        <w:adjustRightInd w:val="0"/>
        <w:snapToGrid w:val="0"/>
        <w:spacing w:line="520" w:lineRule="exact"/>
        <w:jc w:val="left"/>
        <w:rPr>
          <w:rFonts w:ascii="宋体"/>
          <w:sz w:val="24"/>
        </w:rPr>
      </w:pPr>
    </w:p>
    <w:p>
      <w:pPr>
        <w:adjustRightInd w:val="0"/>
        <w:snapToGrid w:val="0"/>
        <w:spacing w:line="520" w:lineRule="exact"/>
        <w:jc w:val="left"/>
        <w:rPr>
          <w:rFonts w:ascii="宋体"/>
          <w:sz w:val="24"/>
        </w:rPr>
      </w:pPr>
    </w:p>
    <w:p>
      <w:pPr>
        <w:adjustRightInd w:val="0"/>
        <w:snapToGrid w:val="0"/>
        <w:spacing w:line="480" w:lineRule="auto"/>
        <w:jc w:val="center"/>
        <w:rPr>
          <w:rFonts w:hint="eastAsia" w:asciiTheme="majorEastAsia" w:hAnsiTheme="majorEastAsia" w:eastAsiaTheme="majorEastAsia" w:cstheme="majorEastAsia"/>
          <w:b w:val="0"/>
          <w:bCs w:val="0"/>
          <w:sz w:val="32"/>
          <w:szCs w:val="32"/>
        </w:rPr>
      </w:pPr>
      <w:r>
        <w:rPr>
          <w:rFonts w:hint="eastAsia" w:asciiTheme="majorEastAsia" w:hAnsiTheme="majorEastAsia" w:eastAsiaTheme="majorEastAsia" w:cstheme="majorEastAsia"/>
          <w:b w:val="0"/>
          <w:bCs w:val="0"/>
          <w:sz w:val="32"/>
          <w:szCs w:val="32"/>
        </w:rPr>
        <w:t>第一章  比选邀请函</w:t>
      </w:r>
    </w:p>
    <w:p>
      <w:pPr>
        <w:pStyle w:val="4"/>
        <w:tabs>
          <w:tab w:val="left" w:pos="4164"/>
        </w:tabs>
        <w:spacing w:line="480" w:lineRule="auto"/>
        <w:ind w:left="104"/>
        <w:rPr>
          <w:rFonts w:hint="eastAsia" w:ascii="方正仿宋_GBK" w:hAnsi="仿宋_GB2312" w:eastAsia="方正仿宋_GBK" w:cs="仿宋_GB2312"/>
          <w:sz w:val="32"/>
          <w:szCs w:val="32"/>
        </w:rPr>
      </w:pPr>
    </w:p>
    <w:p>
      <w:pPr>
        <w:pStyle w:val="4"/>
        <w:tabs>
          <w:tab w:val="left" w:pos="4164"/>
        </w:tabs>
        <w:spacing w:line="480" w:lineRule="auto"/>
        <w:ind w:left="104"/>
        <w:rPr>
          <w:rFonts w:hint="eastAsia"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pacing w:val="-3"/>
          <w:sz w:val="32"/>
          <w:szCs w:val="32"/>
        </w:rPr>
        <w:t>：</w:t>
      </w:r>
      <w:r>
        <w:rPr>
          <w:rFonts w:hint="eastAsia" w:ascii="仿宋" w:hAnsi="仿宋" w:eastAsia="仿宋" w:cs="仿宋"/>
          <w:spacing w:val="-3"/>
          <w:sz w:val="32"/>
          <w:szCs w:val="32"/>
          <w:u w:val="single"/>
          <w:lang w:val="en-US"/>
        </w:rPr>
        <w:t xml:space="preserve">                               </w:t>
      </w:r>
    </w:p>
    <w:p>
      <w:pPr>
        <w:pStyle w:val="4"/>
        <w:spacing w:before="162" w:line="480" w:lineRule="auto"/>
        <w:ind w:left="104" w:right="258" w:firstLine="559"/>
        <w:rPr>
          <w:rFonts w:hint="eastAsia" w:ascii="仿宋" w:hAnsi="仿宋" w:eastAsia="仿宋" w:cs="仿宋"/>
          <w:spacing w:val="-3"/>
          <w:sz w:val="32"/>
          <w:szCs w:val="32"/>
        </w:rPr>
      </w:pPr>
      <w:r>
        <w:rPr>
          <w:rFonts w:hint="eastAsia" w:ascii="仿宋" w:hAnsi="仿宋" w:eastAsia="仿宋" w:cs="仿宋"/>
          <w:spacing w:val="-3"/>
          <w:sz w:val="32"/>
          <w:szCs w:val="32"/>
        </w:rPr>
        <w:t>我司</w:t>
      </w:r>
      <w:r>
        <w:rPr>
          <w:rFonts w:hint="eastAsia" w:ascii="仿宋" w:hAnsi="仿宋" w:eastAsia="仿宋" w:cs="仿宋"/>
          <w:spacing w:val="-7"/>
          <w:sz w:val="32"/>
          <w:szCs w:val="32"/>
        </w:rPr>
        <w:t>按照《中华人民共和国招投标法》的有关规</w:t>
      </w:r>
      <w:r>
        <w:rPr>
          <w:rFonts w:hint="eastAsia" w:ascii="仿宋" w:hAnsi="仿宋" w:eastAsia="仿宋" w:cs="仿宋"/>
          <w:spacing w:val="-5"/>
          <w:sz w:val="32"/>
          <w:szCs w:val="32"/>
        </w:rPr>
        <w:t>定，对</w:t>
      </w:r>
      <w:r>
        <w:rPr>
          <w:rFonts w:hint="eastAsia" w:ascii="仿宋" w:hAnsi="仿宋" w:eastAsia="仿宋" w:cs="仿宋"/>
          <w:spacing w:val="-3"/>
          <w:sz w:val="32"/>
          <w:szCs w:val="32"/>
          <w:u w:val="single"/>
        </w:rPr>
        <w:t>摩围山休闲度假康养基地一期（摩围观唐）项目全案资产联合运营代理</w:t>
      </w:r>
      <w:r>
        <w:rPr>
          <w:rFonts w:hint="eastAsia" w:ascii="仿宋" w:hAnsi="仿宋" w:eastAsia="仿宋" w:cs="仿宋"/>
          <w:spacing w:val="-3"/>
          <w:sz w:val="32"/>
          <w:szCs w:val="32"/>
        </w:rPr>
        <w:t>进行竞争性谈判,现邀请贵单位参加竞争性谈判。</w:t>
      </w:r>
    </w:p>
    <w:p>
      <w:pPr>
        <w:pStyle w:val="4"/>
        <w:spacing w:before="162" w:line="480" w:lineRule="auto"/>
        <w:ind w:left="104" w:right="258" w:firstLine="559"/>
        <w:rPr>
          <w:rFonts w:hint="eastAsia" w:ascii="仿宋" w:hAnsi="仿宋" w:eastAsia="仿宋" w:cs="仿宋"/>
          <w:spacing w:val="-3"/>
          <w:sz w:val="32"/>
          <w:szCs w:val="32"/>
          <w:lang w:val="en-US"/>
        </w:rPr>
      </w:pPr>
      <w:r>
        <w:rPr>
          <w:rFonts w:hint="eastAsia" w:ascii="仿宋" w:hAnsi="仿宋" w:eastAsia="仿宋" w:cs="仿宋"/>
          <w:spacing w:val="-3"/>
          <w:sz w:val="32"/>
          <w:szCs w:val="32"/>
        </w:rPr>
        <w:t>请贵单位于</w:t>
      </w:r>
      <w:r>
        <w:rPr>
          <w:rFonts w:hint="eastAsia" w:ascii="仿宋" w:hAnsi="仿宋" w:eastAsia="仿宋" w:cs="仿宋"/>
          <w:spacing w:val="-3"/>
          <w:sz w:val="32"/>
          <w:szCs w:val="32"/>
          <w:lang w:val="en-US"/>
        </w:rPr>
        <w:t>2021年6月1之前来我司（摩围山游客中心）领取比选文件，并在6月5日之前按照比选文件要求参加比选评审。</w:t>
      </w:r>
    </w:p>
    <w:p>
      <w:pPr>
        <w:pStyle w:val="4"/>
        <w:spacing w:before="162" w:line="480" w:lineRule="auto"/>
        <w:ind w:left="104" w:right="258" w:firstLine="559"/>
        <w:rPr>
          <w:rFonts w:hint="eastAsia" w:ascii="仿宋" w:hAnsi="仿宋" w:eastAsia="仿宋" w:cs="仿宋"/>
          <w:spacing w:val="-3"/>
          <w:sz w:val="32"/>
          <w:szCs w:val="32"/>
          <w:lang w:val="en-US"/>
        </w:rPr>
      </w:pPr>
      <w:r>
        <w:rPr>
          <w:rFonts w:hint="eastAsia" w:ascii="仿宋" w:hAnsi="仿宋" w:eastAsia="仿宋" w:cs="仿宋"/>
          <w:spacing w:val="-3"/>
          <w:sz w:val="32"/>
          <w:szCs w:val="32"/>
          <w:lang w:val="en-US"/>
        </w:rPr>
        <w:t>此函</w:t>
      </w:r>
    </w:p>
    <w:p>
      <w:pPr>
        <w:pStyle w:val="4"/>
        <w:spacing w:before="162" w:line="480" w:lineRule="auto"/>
        <w:ind w:left="104" w:right="258" w:firstLine="559"/>
        <w:rPr>
          <w:rFonts w:hint="eastAsia" w:ascii="仿宋" w:hAnsi="仿宋" w:eastAsia="仿宋" w:cs="仿宋"/>
          <w:spacing w:val="-3"/>
          <w:sz w:val="32"/>
          <w:szCs w:val="32"/>
          <w:lang w:val="en-US"/>
        </w:rPr>
      </w:pPr>
    </w:p>
    <w:p>
      <w:pPr>
        <w:pStyle w:val="4"/>
        <w:spacing w:before="162" w:line="480" w:lineRule="auto"/>
        <w:ind w:left="104" w:right="258" w:firstLine="559"/>
        <w:jc w:val="right"/>
        <w:rPr>
          <w:rFonts w:hint="eastAsia" w:ascii="仿宋" w:hAnsi="仿宋" w:eastAsia="仿宋" w:cs="仿宋"/>
          <w:spacing w:val="-3"/>
          <w:sz w:val="32"/>
          <w:szCs w:val="32"/>
          <w:lang w:val="en-US"/>
        </w:rPr>
      </w:pPr>
      <w:r>
        <w:rPr>
          <w:rFonts w:hint="eastAsia" w:ascii="仿宋" w:hAnsi="仿宋" w:eastAsia="仿宋" w:cs="仿宋"/>
          <w:spacing w:val="-3"/>
          <w:sz w:val="32"/>
          <w:szCs w:val="32"/>
          <w:lang w:val="en-US"/>
        </w:rPr>
        <w:t>彭水县摩围山旅游开发有限公司</w:t>
      </w:r>
    </w:p>
    <w:p>
      <w:pPr>
        <w:pStyle w:val="4"/>
        <w:spacing w:before="162" w:line="480" w:lineRule="auto"/>
        <w:ind w:left="104" w:right="572" w:firstLine="559"/>
        <w:jc w:val="center"/>
        <w:rPr>
          <w:rFonts w:hint="eastAsia" w:ascii="仿宋" w:hAnsi="仿宋" w:eastAsia="仿宋" w:cs="仿宋"/>
          <w:spacing w:val="-3"/>
          <w:sz w:val="32"/>
          <w:szCs w:val="32"/>
          <w:lang w:val="en-US"/>
        </w:rPr>
      </w:pPr>
      <w:r>
        <w:rPr>
          <w:rFonts w:hint="eastAsia" w:ascii="仿宋" w:hAnsi="仿宋" w:eastAsia="仿宋" w:cs="仿宋"/>
          <w:spacing w:val="-3"/>
          <w:sz w:val="32"/>
          <w:szCs w:val="32"/>
          <w:lang w:val="en-US" w:eastAsia="zh-CN"/>
        </w:rPr>
        <w:t xml:space="preserve">                             </w:t>
      </w:r>
      <w:r>
        <w:rPr>
          <w:rFonts w:hint="eastAsia" w:ascii="仿宋" w:hAnsi="仿宋" w:eastAsia="仿宋" w:cs="仿宋"/>
          <w:spacing w:val="-3"/>
          <w:sz w:val="32"/>
          <w:szCs w:val="32"/>
          <w:lang w:val="en-US"/>
        </w:rPr>
        <w:t>2021年5月24日</w:t>
      </w:r>
    </w:p>
    <w:p>
      <w:pPr>
        <w:pStyle w:val="4"/>
        <w:spacing w:before="162" w:line="480" w:lineRule="auto"/>
        <w:ind w:left="104" w:right="258" w:firstLine="559"/>
        <w:jc w:val="right"/>
        <w:rPr>
          <w:rFonts w:hint="eastAsia" w:ascii="方正仿宋_GBK" w:hAnsi="仿宋_GB2312" w:eastAsia="方正仿宋_GBK" w:cs="仿宋_GB2312"/>
          <w:spacing w:val="-3"/>
          <w:sz w:val="32"/>
          <w:szCs w:val="32"/>
          <w:lang w:val="en-US"/>
        </w:rPr>
      </w:pPr>
    </w:p>
    <w:p>
      <w:pPr>
        <w:pStyle w:val="4"/>
        <w:spacing w:before="162" w:line="480" w:lineRule="auto"/>
        <w:ind w:left="104" w:right="258" w:firstLine="559"/>
        <w:jc w:val="right"/>
        <w:rPr>
          <w:rFonts w:hint="eastAsia" w:ascii="方正仿宋_GBK" w:hAnsi="仿宋_GB2312" w:eastAsia="方正仿宋_GBK" w:cs="仿宋_GB2312"/>
          <w:spacing w:val="-3"/>
          <w:sz w:val="32"/>
          <w:szCs w:val="32"/>
          <w:lang w:val="en-US"/>
        </w:rPr>
      </w:pPr>
    </w:p>
    <w:p>
      <w:pPr>
        <w:pStyle w:val="4"/>
        <w:spacing w:before="162" w:line="480" w:lineRule="auto"/>
        <w:ind w:left="104" w:right="258" w:firstLine="559"/>
        <w:jc w:val="right"/>
        <w:rPr>
          <w:rFonts w:hint="eastAsia" w:ascii="方正仿宋_GBK" w:hAnsi="仿宋_GB2312" w:eastAsia="方正仿宋_GBK" w:cs="仿宋_GB2312"/>
          <w:spacing w:val="-3"/>
          <w:sz w:val="32"/>
          <w:szCs w:val="32"/>
          <w:lang w:val="en-US"/>
        </w:rPr>
      </w:pPr>
    </w:p>
    <w:p>
      <w:pPr>
        <w:pStyle w:val="4"/>
        <w:spacing w:before="162" w:line="480" w:lineRule="auto"/>
        <w:ind w:left="104" w:right="258" w:firstLine="559"/>
        <w:jc w:val="right"/>
        <w:rPr>
          <w:rFonts w:hint="eastAsia" w:ascii="方正仿宋_GBK" w:hAnsi="仿宋_GB2312" w:eastAsia="方正仿宋_GBK" w:cs="仿宋_GB2312"/>
          <w:spacing w:val="-3"/>
          <w:sz w:val="32"/>
          <w:szCs w:val="32"/>
          <w:lang w:val="en-US"/>
        </w:rPr>
      </w:pPr>
    </w:p>
    <w:p>
      <w:pPr>
        <w:adjustRightInd w:val="0"/>
        <w:snapToGrid w:val="0"/>
        <w:spacing w:line="480" w:lineRule="auto"/>
        <w:jc w:val="both"/>
        <w:rPr>
          <w:rFonts w:hint="eastAsia" w:ascii="方正仿宋_GBK" w:hAnsi="方正小标宋_GBK" w:eastAsia="方正仿宋_GBK" w:cs="方正小标宋_GBK"/>
          <w:sz w:val="32"/>
          <w:szCs w:val="32"/>
        </w:rPr>
      </w:pPr>
    </w:p>
    <w:p>
      <w:pPr>
        <w:adjustRightInd w:val="0"/>
        <w:snapToGrid w:val="0"/>
        <w:spacing w:line="360" w:lineRule="auto"/>
        <w:jc w:val="center"/>
        <w:rPr>
          <w:rFonts w:hint="eastAsia" w:asciiTheme="majorEastAsia" w:hAnsiTheme="majorEastAsia" w:eastAsiaTheme="majorEastAsia" w:cstheme="majorEastAsia"/>
          <w:b w:val="0"/>
          <w:bCs w:val="0"/>
          <w:sz w:val="32"/>
          <w:szCs w:val="32"/>
        </w:rPr>
      </w:pPr>
      <w:r>
        <w:rPr>
          <w:rFonts w:hint="eastAsia" w:asciiTheme="majorEastAsia" w:hAnsiTheme="majorEastAsia" w:eastAsiaTheme="majorEastAsia" w:cstheme="majorEastAsia"/>
          <w:b w:val="0"/>
          <w:bCs w:val="0"/>
          <w:sz w:val="32"/>
          <w:szCs w:val="32"/>
        </w:rPr>
        <w:t>第二章  比选被邀请人须知</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Theme="minorEastAsia" w:hAnsiTheme="minorEastAsia" w:eastAsiaTheme="minorEastAsia" w:cstheme="minorEastAsia"/>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比选被邀请人须提交下列资料</w:t>
      </w:r>
    </w:p>
    <w:p>
      <w:pPr>
        <w:pStyle w:val="4"/>
        <w:spacing w:before="162" w:line="360" w:lineRule="auto"/>
        <w:ind w:left="104" w:right="258" w:firstLine="55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单位资质、营业执照（复印件盖鲜章）；</w:t>
      </w:r>
    </w:p>
    <w:p>
      <w:pPr>
        <w:pStyle w:val="4"/>
        <w:spacing w:before="162" w:line="360" w:lineRule="auto"/>
        <w:ind w:left="104" w:right="258" w:firstLine="55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法定代表人身份证明（复印近）；</w:t>
      </w:r>
    </w:p>
    <w:p>
      <w:pPr>
        <w:pStyle w:val="4"/>
        <w:spacing w:before="162" w:line="360" w:lineRule="auto"/>
        <w:ind w:left="104" w:right="258" w:firstLine="55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法定代表人授权委托书（原件加盖鲜章）</w:t>
      </w:r>
      <w:r>
        <w:rPr>
          <w:rFonts w:hint="eastAsia" w:ascii="仿宋_GB2312" w:hAnsi="仿宋_GB2312" w:eastAsia="仿宋_GB2312" w:cs="仿宋_GB2312"/>
          <w:sz w:val="32"/>
          <w:szCs w:val="32"/>
          <w:lang w:val="en-US" w:eastAsia="zh-CN"/>
        </w:rPr>
        <w:t>；</w:t>
      </w:r>
    </w:p>
    <w:p>
      <w:pPr>
        <w:pStyle w:val="4"/>
        <w:spacing w:before="162" w:line="360" w:lineRule="auto"/>
        <w:ind w:left="104" w:right="258" w:firstLine="55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公司营销案例及本案核心服务团队成员简介</w:t>
      </w:r>
      <w:r>
        <w:rPr>
          <w:rFonts w:hint="eastAsia" w:ascii="仿宋_GB2312" w:hAnsi="仿宋_GB2312" w:eastAsia="仿宋_GB2312" w:cs="仿宋_GB2312"/>
          <w:sz w:val="32"/>
          <w:szCs w:val="32"/>
          <w:lang w:val="en-US" w:eastAsia="zh-CN"/>
        </w:rPr>
        <w:t>。</w:t>
      </w:r>
    </w:p>
    <w:p>
      <w:pPr>
        <w:pStyle w:val="4"/>
        <w:spacing w:before="162" w:line="360" w:lineRule="auto"/>
        <w:ind w:right="258" w:firstLine="640" w:firstLineChars="200"/>
        <w:rPr>
          <w:rFonts w:hint="eastAsia" w:ascii="黑体" w:hAnsi="黑体" w:eastAsia="黑体" w:cs="黑体"/>
          <w:sz w:val="32"/>
          <w:szCs w:val="32"/>
          <w:lang w:val="en-US"/>
        </w:rPr>
      </w:pPr>
      <w:r>
        <w:rPr>
          <w:rFonts w:hint="eastAsia" w:ascii="黑体" w:hAnsi="黑体" w:eastAsia="黑体" w:cs="黑体"/>
          <w:sz w:val="32"/>
          <w:szCs w:val="32"/>
          <w:lang w:val="en-US"/>
        </w:rPr>
        <w:t>二</w:t>
      </w:r>
      <w:r>
        <w:rPr>
          <w:rFonts w:hint="eastAsia" w:ascii="黑体" w:hAnsi="黑体" w:eastAsia="黑体" w:cs="黑体"/>
          <w:sz w:val="32"/>
          <w:szCs w:val="32"/>
          <w:lang w:val="en-US" w:eastAsia="zh-CN"/>
        </w:rPr>
        <w:t>、</w:t>
      </w:r>
      <w:r>
        <w:rPr>
          <w:rFonts w:hint="eastAsia" w:ascii="黑体" w:hAnsi="黑体" w:eastAsia="黑体" w:cs="黑体"/>
          <w:sz w:val="32"/>
          <w:szCs w:val="32"/>
          <w:lang w:val="en-US"/>
        </w:rPr>
        <w:t>项目概况</w:t>
      </w:r>
    </w:p>
    <w:p>
      <w:pPr>
        <w:spacing w:line="360" w:lineRule="auto"/>
        <w:ind w:left="659"/>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u w:val="single"/>
        </w:rPr>
        <w:t>摩围山休闲度假康养基地（一期）</w:t>
      </w:r>
      <w:r>
        <w:rPr>
          <w:rFonts w:hint="eastAsia" w:ascii="仿宋_GB2312" w:hAnsi="仿宋_GB2312" w:eastAsia="仿宋_GB2312" w:cs="仿宋_GB2312"/>
          <w:spacing w:val="-3"/>
          <w:sz w:val="32"/>
          <w:szCs w:val="32"/>
          <w:u w:val="single"/>
        </w:rPr>
        <w:t>“摩围观唐”项目全案资产联合运营代理。</w:t>
      </w:r>
    </w:p>
    <w:p>
      <w:pPr>
        <w:pStyle w:val="4"/>
        <w:tabs>
          <w:tab w:val="left" w:pos="1919"/>
        </w:tabs>
        <w:spacing w:before="159" w:line="360" w:lineRule="auto"/>
        <w:ind w:left="65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服务期限:自合同签订之日起</w:t>
      </w:r>
      <w:r>
        <w:rPr>
          <w:rFonts w:hint="eastAsia" w:ascii="仿宋_GB2312" w:hAnsi="仿宋_GB2312" w:eastAsia="仿宋_GB2312" w:cs="仿宋_GB2312"/>
          <w:sz w:val="32"/>
          <w:szCs w:val="32"/>
          <w:lang w:val="en-US"/>
        </w:rPr>
        <w:t>24个月。</w:t>
      </w:r>
    </w:p>
    <w:p>
      <w:pPr>
        <w:pStyle w:val="4"/>
        <w:tabs>
          <w:tab w:val="left" w:pos="1919"/>
        </w:tabs>
        <w:spacing w:before="159" w:line="360" w:lineRule="auto"/>
        <w:ind w:left="65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合同计价方式：固定月服务费合同和浮动月资产运营提成</w:t>
      </w:r>
      <w:r>
        <w:rPr>
          <w:rFonts w:hint="eastAsia" w:ascii="仿宋_GB2312" w:hAnsi="仿宋_GB2312" w:eastAsia="仿宋_GB2312" w:cs="仿宋_GB2312"/>
          <w:sz w:val="32"/>
          <w:szCs w:val="32"/>
          <w:lang w:val="en-US" w:eastAsia="zh-CN"/>
        </w:rPr>
        <w:t>。</w:t>
      </w:r>
    </w:p>
    <w:p>
      <w:pPr>
        <w:pStyle w:val="4"/>
        <w:tabs>
          <w:tab w:val="left" w:pos="1919"/>
        </w:tabs>
        <w:spacing w:before="159" w:line="360" w:lineRule="auto"/>
        <w:ind w:left="65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服务主要内容：包含但不仅限于资产运营顾问、资产运营策划、资产运营客群管理、资产运营渠道管理、资产运营客户活动策划、资产运营签约服务等</w:t>
      </w:r>
      <w:r>
        <w:rPr>
          <w:rFonts w:hint="eastAsia" w:ascii="仿宋_GB2312" w:hAnsi="仿宋_GB2312" w:eastAsia="仿宋_GB2312" w:cs="仿宋_GB2312"/>
          <w:sz w:val="32"/>
          <w:szCs w:val="32"/>
          <w:lang w:val="en-US" w:eastAsia="zh-CN"/>
        </w:rPr>
        <w:t>。</w:t>
      </w:r>
    </w:p>
    <w:p>
      <w:pPr>
        <w:pStyle w:val="4"/>
        <w:spacing w:before="162" w:line="360" w:lineRule="auto"/>
        <w:ind w:left="664"/>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响应竞争性谈判单位资质及最高限价要求</w:t>
      </w:r>
      <w:r>
        <w:rPr>
          <w:rFonts w:hint="eastAsia" w:ascii="仿宋_GB2312" w:hAnsi="仿宋_GB2312" w:eastAsia="仿宋_GB2312" w:cs="仿宋_GB2312"/>
          <w:sz w:val="32"/>
          <w:szCs w:val="32"/>
          <w:lang w:eastAsia="zh-CN"/>
        </w:rPr>
        <w:t>。</w:t>
      </w:r>
    </w:p>
    <w:p>
      <w:pPr>
        <w:pStyle w:val="4"/>
        <w:spacing w:before="163" w:line="360" w:lineRule="auto"/>
        <w:ind w:left="6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A、投标人应具备独立法人资格；</w:t>
      </w:r>
    </w:p>
    <w:p>
      <w:pPr>
        <w:pStyle w:val="4"/>
        <w:spacing w:before="159" w:line="360" w:lineRule="auto"/>
        <w:ind w:left="104" w:right="258" w:firstLine="55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pacing w:val="-23"/>
          <w:sz w:val="32"/>
          <w:szCs w:val="32"/>
        </w:rPr>
        <w:t>、财产状况良好，没有处于财产被接管、破产或其他关、停、并、转状态；</w:t>
      </w:r>
    </w:p>
    <w:p>
      <w:pPr>
        <w:pStyle w:val="4"/>
        <w:tabs>
          <w:tab w:val="left" w:pos="1364"/>
          <w:tab w:val="left" w:pos="5564"/>
        </w:tabs>
        <w:spacing w:before="1" w:line="360" w:lineRule="auto"/>
        <w:ind w:left="104" w:right="258" w:firstLine="55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C</w:t>
      </w:r>
      <w:r>
        <w:rPr>
          <w:rFonts w:hint="eastAsia" w:ascii="仿宋_GB2312" w:hAnsi="仿宋_GB2312" w:eastAsia="仿宋_GB2312" w:cs="仿宋_GB2312"/>
          <w:spacing w:val="-22"/>
          <w:sz w:val="32"/>
          <w:szCs w:val="32"/>
        </w:rPr>
        <w:t>、</w:t>
      </w:r>
      <w:r>
        <w:rPr>
          <w:rFonts w:hint="eastAsia" w:ascii="仿宋_GB2312" w:hAnsi="仿宋_GB2312" w:eastAsia="仿宋_GB2312" w:cs="仿宋_GB2312"/>
          <w:sz w:val="32"/>
          <w:szCs w:val="32"/>
        </w:rPr>
        <w:t>在最近三年没有与片区合同有关以及其他经济方面的违法行为；</w:t>
      </w:r>
    </w:p>
    <w:p>
      <w:pPr>
        <w:pStyle w:val="4"/>
        <w:tabs>
          <w:tab w:val="left" w:pos="1364"/>
          <w:tab w:val="left" w:pos="5564"/>
        </w:tabs>
        <w:spacing w:before="1" w:line="360" w:lineRule="auto"/>
        <w:ind w:left="104" w:right="258" w:firstLine="55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D、注册资金50万元人民币及以上；</w:t>
      </w:r>
    </w:p>
    <w:p>
      <w:pPr>
        <w:pStyle w:val="4"/>
        <w:tabs>
          <w:tab w:val="left" w:pos="1364"/>
          <w:tab w:val="left" w:pos="5564"/>
        </w:tabs>
        <w:spacing w:before="1" w:line="360" w:lineRule="auto"/>
        <w:ind w:left="104" w:right="258" w:firstLine="55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E、近三年有服务过国际、国内知名房地产企业营销代理的成功案例，且至少服务过两个或以上旅游地产类综合体项目；有成熟完善的公司体系、人员架构和服务制度</w:t>
      </w:r>
      <w:r>
        <w:rPr>
          <w:rFonts w:hint="eastAsia" w:ascii="仿宋_GB2312" w:hAnsi="仿宋_GB2312" w:eastAsia="仿宋_GB2312" w:cs="仿宋_GB2312"/>
          <w:sz w:val="32"/>
          <w:szCs w:val="32"/>
          <w:lang w:val="en-US" w:eastAsia="zh-CN"/>
        </w:rPr>
        <w:t>；</w:t>
      </w:r>
    </w:p>
    <w:p>
      <w:pPr>
        <w:pStyle w:val="4"/>
        <w:tabs>
          <w:tab w:val="left" w:pos="1364"/>
          <w:tab w:val="left" w:pos="5564"/>
        </w:tabs>
        <w:spacing w:before="1" w:line="360" w:lineRule="auto"/>
        <w:ind w:left="104" w:right="258" w:firstLine="55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F、本项目不接受联合体投标。</w:t>
      </w:r>
    </w:p>
    <w:p>
      <w:pPr>
        <w:pStyle w:val="4"/>
        <w:spacing w:line="360" w:lineRule="auto"/>
        <w:ind w:left="66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中标单位的确定：投标单位报价为合理的最低价则确定为中标单位。</w:t>
      </w:r>
    </w:p>
    <w:p>
      <w:pPr>
        <w:pStyle w:val="4"/>
        <w:spacing w:before="162" w:line="360" w:lineRule="auto"/>
        <w:ind w:left="104" w:right="192" w:firstLine="55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竞争性谈判文件发售时间20</w:t>
      </w:r>
      <w:r>
        <w:rPr>
          <w:rFonts w:hint="eastAsia" w:ascii="仿宋_GB2312" w:hAnsi="仿宋_GB2312" w:eastAsia="仿宋_GB2312" w:cs="仿宋_GB2312"/>
          <w:sz w:val="32"/>
          <w:szCs w:val="32"/>
          <w:lang w:val="en-US"/>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24</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日，此期间内每天上午</w:t>
      </w:r>
      <w:r>
        <w:rPr>
          <w:rFonts w:hint="eastAsia" w:ascii="仿宋_GB2312" w:hAnsi="仿宋_GB2312" w:eastAsia="仿宋_GB2312" w:cs="仿宋_GB2312"/>
          <w:sz w:val="32"/>
          <w:szCs w:val="32"/>
          <w:lang w:val="en-US"/>
        </w:rPr>
        <w:t>9</w:t>
      </w:r>
      <w:r>
        <w:rPr>
          <w:rFonts w:hint="eastAsia" w:ascii="仿宋_GB2312" w:hAnsi="仿宋_GB2312" w:eastAsia="仿宋_GB2312" w:cs="仿宋_GB2312"/>
          <w:sz w:val="32"/>
          <w:szCs w:val="32"/>
        </w:rPr>
        <w:t>：00—12：00下午2：30—</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：00（北京时间）。</w:t>
      </w:r>
    </w:p>
    <w:p>
      <w:pPr>
        <w:pStyle w:val="4"/>
        <w:spacing w:line="360" w:lineRule="auto"/>
        <w:ind w:left="66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竞争性谈判文件发售地点：</w:t>
      </w:r>
      <w:r>
        <w:rPr>
          <w:rFonts w:hint="eastAsia" w:ascii="仿宋_GB2312" w:hAnsi="仿宋_GB2312" w:eastAsia="仿宋_GB2312" w:cs="仿宋_GB2312"/>
          <w:sz w:val="32"/>
          <w:szCs w:val="32"/>
          <w:u w:val="single"/>
        </w:rPr>
        <w:t>彭水县摩围山旅游开发有限公司综合部办公室</w:t>
      </w:r>
      <w:r>
        <w:rPr>
          <w:rFonts w:hint="eastAsia" w:ascii="仿宋_GB2312" w:hAnsi="仿宋_GB2312" w:eastAsia="仿宋_GB2312" w:cs="仿宋_GB2312"/>
          <w:sz w:val="32"/>
          <w:szCs w:val="32"/>
          <w:u w:val="none"/>
          <w:lang w:eastAsia="zh-CN"/>
        </w:rPr>
        <w:t>。</w:t>
      </w:r>
    </w:p>
    <w:p>
      <w:pPr>
        <w:pStyle w:val="4"/>
        <w:spacing w:before="163" w:line="360" w:lineRule="auto"/>
        <w:ind w:left="66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响应竞争性谈判投标时间：20</w:t>
      </w:r>
      <w:r>
        <w:rPr>
          <w:rFonts w:hint="eastAsia" w:ascii="仿宋_GB2312" w:hAnsi="仿宋_GB2312" w:eastAsia="仿宋_GB2312" w:cs="仿宋_GB2312"/>
          <w:sz w:val="32"/>
          <w:szCs w:val="32"/>
          <w:lang w:val="en-US"/>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日下午1</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0-1</w:t>
      </w: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eastAsia="zh-CN"/>
        </w:rPr>
        <w:t>。</w:t>
      </w:r>
    </w:p>
    <w:p>
      <w:pPr>
        <w:pStyle w:val="4"/>
        <w:spacing w:before="163"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开标时间：20</w:t>
      </w:r>
      <w:r>
        <w:rPr>
          <w:rFonts w:hint="eastAsia" w:ascii="仿宋_GB2312" w:hAnsi="仿宋_GB2312" w:eastAsia="仿宋_GB2312" w:cs="仿宋_GB2312"/>
          <w:sz w:val="32"/>
          <w:szCs w:val="32"/>
          <w:lang w:val="en-US"/>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日下午15：</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0。</w:t>
      </w:r>
    </w:p>
    <w:p>
      <w:pPr>
        <w:pStyle w:val="4"/>
        <w:spacing w:before="159" w:line="360" w:lineRule="auto"/>
        <w:ind w:left="104" w:right="192" w:firstLine="55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响应竞争性谈判地点：</w:t>
      </w:r>
      <w:r>
        <w:rPr>
          <w:rFonts w:hint="eastAsia" w:ascii="仿宋_GB2312" w:hAnsi="仿宋_GB2312" w:eastAsia="仿宋_GB2312" w:cs="仿宋_GB2312"/>
          <w:sz w:val="32"/>
          <w:szCs w:val="32"/>
          <w:u w:val="single"/>
        </w:rPr>
        <w:t>彭水县摩围山旅游开发有限公司二楼会议室</w:t>
      </w:r>
      <w:r>
        <w:rPr>
          <w:rFonts w:hint="eastAsia" w:ascii="仿宋_GB2312" w:hAnsi="仿宋_GB2312" w:eastAsia="仿宋_GB2312" w:cs="仿宋_GB2312"/>
          <w:sz w:val="32"/>
          <w:szCs w:val="32"/>
          <w:u w:val="none"/>
          <w:lang w:eastAsia="zh-CN"/>
        </w:rPr>
        <w:t>。</w:t>
      </w: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jc w:val="both"/>
        <w:rPr>
          <w:rFonts w:hint="eastAsia" w:ascii="仿宋_GB2312" w:hAnsi="仿宋_GB2312" w:eastAsia="仿宋_GB2312" w:cs="仿宋_GB2312"/>
          <w:sz w:val="32"/>
          <w:szCs w:val="32"/>
        </w:rPr>
      </w:pPr>
    </w:p>
    <w:p>
      <w:pPr>
        <w:adjustRightInd w:val="0"/>
        <w:snapToGrid w:val="0"/>
        <w:spacing w:line="360" w:lineRule="auto"/>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第三章  评比流程及办法</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一、评比活动遵循公平、公证、科学、择优的原则</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二、评比最高限价</w:t>
      </w:r>
    </w:p>
    <w:p>
      <w:pPr>
        <w:tabs>
          <w:tab w:val="left" w:pos="951"/>
        </w:tabs>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（一）营销顾问费：5万元/月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分值为10分</w:t>
      </w:r>
    </w:p>
    <w:p>
      <w:pPr>
        <w:tabs>
          <w:tab w:val="left" w:pos="951"/>
        </w:tabs>
        <w:spacing w:line="360" w:lineRule="auto"/>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（二）营销代理费：浮动销售总额的1%—3%（具体参照下表）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分值90分</w:t>
      </w:r>
    </w:p>
    <w:tbl>
      <w:tblPr>
        <w:tblStyle w:val="6"/>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26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彭水区域客户占比</w:t>
            </w:r>
          </w:p>
        </w:tc>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销售代理提成比率</w:t>
            </w:r>
          </w:p>
        </w:tc>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w:t>
            </w:r>
          </w:p>
        </w:tc>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693" w:type="dxa"/>
            <w:vMerge w:val="restart"/>
          </w:tcPr>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每阶段之间的报价提成比率差固定为0.5%。</w:t>
            </w:r>
          </w:p>
          <w:p>
            <w:pPr>
              <w:tabs>
                <w:tab w:val="left" w:pos="951"/>
              </w:tabs>
              <w:spacing w:line="360" w:lineRule="auto"/>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80%-99%</w:t>
            </w:r>
          </w:p>
        </w:tc>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2693" w:type="dxa"/>
            <w:vMerge w:val="continue"/>
          </w:tcPr>
          <w:p>
            <w:pPr>
              <w:tabs>
                <w:tab w:val="left" w:pos="951"/>
              </w:tabs>
              <w:spacing w:line="360" w:lineRule="auto"/>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60%-79%</w:t>
            </w:r>
          </w:p>
        </w:tc>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693" w:type="dxa"/>
            <w:vMerge w:val="continue"/>
          </w:tcPr>
          <w:p>
            <w:pPr>
              <w:tabs>
                <w:tab w:val="left" w:pos="951"/>
              </w:tabs>
              <w:spacing w:line="360" w:lineRule="auto"/>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40%-59%</w:t>
            </w:r>
          </w:p>
        </w:tc>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2693" w:type="dxa"/>
            <w:vMerge w:val="continue"/>
          </w:tcPr>
          <w:p>
            <w:pPr>
              <w:tabs>
                <w:tab w:val="left" w:pos="951"/>
              </w:tabs>
              <w:spacing w:line="360" w:lineRule="auto"/>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39%以下</w:t>
            </w:r>
          </w:p>
        </w:tc>
        <w:tc>
          <w:tcPr>
            <w:tcW w:w="2693" w:type="dxa"/>
          </w:tcPr>
          <w:p>
            <w:pPr>
              <w:tabs>
                <w:tab w:val="left" w:pos="951"/>
              </w:tabs>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693" w:type="dxa"/>
            <w:vMerge w:val="continue"/>
          </w:tcPr>
          <w:p>
            <w:pPr>
              <w:tabs>
                <w:tab w:val="left" w:pos="951"/>
              </w:tabs>
              <w:spacing w:line="360" w:lineRule="auto"/>
              <w:jc w:val="center"/>
              <w:rPr>
                <w:rFonts w:hint="eastAsia" w:ascii="仿宋_GB2312" w:hAnsi="仿宋_GB2312" w:eastAsia="仿宋_GB2312" w:cs="仿宋_GB2312"/>
                <w:sz w:val="32"/>
                <w:szCs w:val="32"/>
              </w:rPr>
            </w:pPr>
          </w:p>
        </w:tc>
      </w:tr>
    </w:tbl>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例：投标人对彭水区域客户占比100%的销售代理提成比率一旦确定为0.8%，则后续几个阶段的销售代理提成比率分别为1.3%(=0.8%+0.5%)，1.8%(=1.3%+0.5%)，2.3%(=1.8%+0.5%)，2.8%(=2.3%+0.5%)。</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三、比选人将于2021年6月1日在摩围山旅游开发公司二楼会议室举行比选会议，邀请比选被邀请人参加</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四、介绍本次比选活动的评审小组成员和监督部门</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五、宣布本次比选活动的注意事项和评比流程及办法</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六、比选人组成5人评审小组，成员为比选人单位领导、各部门领导及九黎集团资产部</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七、比选邀请人首先向评审小组提交密封号的资质证明文件资料和报价表，评审小组拆封后对比选被邀请人进行资质审查，同时统计比选被邀请人的报价</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八、宣布比选被邀请提交的资质文件是否满足比选要求，同时宣布各个比选人被邀请人的报价结果</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九、评比采用经评审的最低比选报价法，最低的比选被邀请人为中选人</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十、宣布中选的比选被邀请人，并与报价最低的比选邀请人进行谈判</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十一、比选人向中选人发出中选通知书</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十二、比选人和比选被邀请人再发出中选通知书2个工作日内签订全案资产运营代理合同</w:t>
      </w:r>
    </w:p>
    <w:p>
      <w:pPr>
        <w:jc w:val="center"/>
        <w:rPr>
          <w:rFonts w:hint="eastAsia" w:ascii="方正仿宋_GBK" w:hAnsi="方正小标宋_GBK" w:eastAsia="方正仿宋_GBK" w:cs="方正小标宋_GBK"/>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资格条件符合性审查表</w:t>
      </w:r>
      <w:r>
        <w:rPr>
          <w:rFonts w:hint="eastAsia" w:ascii="仿宋_GB2312" w:hAnsi="仿宋_GB2312" w:eastAsia="仿宋_GB2312" w:cs="仿宋_GB2312"/>
          <w:sz w:val="32"/>
          <w:szCs w:val="32"/>
          <w:lang w:eastAsia="zh-CN"/>
        </w:rPr>
        <w:t>》</w:t>
      </w:r>
    </w:p>
    <w:tbl>
      <w:tblPr>
        <w:tblStyle w:val="6"/>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3"/>
        <w:gridCol w:w="1808"/>
        <w:gridCol w:w="1883"/>
        <w:gridCol w:w="2032"/>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60" w:type="dxa"/>
            <w:gridSpan w:val="5"/>
          </w:tcPr>
          <w:p>
            <w:pPr>
              <w:spacing w:line="40" w:lineRule="atLeast"/>
              <w:jc w:val="center"/>
              <w:rPr>
                <w:rFonts w:ascii="仿宋_GB2312" w:hAnsi="仿宋_GB2312" w:eastAsia="仿宋_GB2312" w:cs="仿宋_GB2312"/>
                <w:sz w:val="28"/>
                <w:szCs w:val="28"/>
              </w:rPr>
            </w:pPr>
            <w:r>
              <w:rPr>
                <w:rFonts w:hint="eastAsia" w:ascii="黑体" w:hAnsi="黑体" w:eastAsia="黑体" w:cs="黑体"/>
                <w:sz w:val="32"/>
                <w:szCs w:val="32"/>
              </w:rPr>
              <w:t>资格条件符合性审查表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12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比选被邀请人</w:t>
            </w:r>
          </w:p>
        </w:tc>
        <w:tc>
          <w:tcPr>
            <w:tcW w:w="7437" w:type="dxa"/>
            <w:gridSpan w:val="4"/>
          </w:tcPr>
          <w:p>
            <w:pPr>
              <w:spacing w:line="40" w:lineRule="atLeas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112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808"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项目内容</w:t>
            </w:r>
          </w:p>
        </w:tc>
        <w:tc>
          <w:tcPr>
            <w:tcW w:w="188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合格条件</w:t>
            </w:r>
          </w:p>
        </w:tc>
        <w:tc>
          <w:tcPr>
            <w:tcW w:w="2032"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投标人具备的条件或说明</w:t>
            </w:r>
          </w:p>
        </w:tc>
        <w:tc>
          <w:tcPr>
            <w:tcW w:w="1714"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合格画“√”，不合格画“×”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12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808"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w:t>
            </w:r>
          </w:p>
        </w:tc>
        <w:tc>
          <w:tcPr>
            <w:tcW w:w="188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有效</w:t>
            </w:r>
          </w:p>
        </w:tc>
        <w:tc>
          <w:tcPr>
            <w:tcW w:w="2032"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原件或加盖鲜章的复印件</w:t>
            </w:r>
          </w:p>
        </w:tc>
        <w:tc>
          <w:tcPr>
            <w:tcW w:w="1714" w:type="dxa"/>
          </w:tcPr>
          <w:p>
            <w:pPr>
              <w:spacing w:line="40" w:lineRule="atLeas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12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808"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资质等级证书</w:t>
            </w:r>
          </w:p>
        </w:tc>
        <w:tc>
          <w:tcPr>
            <w:tcW w:w="188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具备营销代理资质</w:t>
            </w:r>
          </w:p>
        </w:tc>
        <w:tc>
          <w:tcPr>
            <w:tcW w:w="2032"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原件或加盖鲜章的复印件</w:t>
            </w:r>
          </w:p>
        </w:tc>
        <w:tc>
          <w:tcPr>
            <w:tcW w:w="1714" w:type="dxa"/>
          </w:tcPr>
          <w:p>
            <w:pPr>
              <w:spacing w:line="40" w:lineRule="atLeas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12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808"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法定代表人身份证明</w:t>
            </w:r>
          </w:p>
        </w:tc>
        <w:tc>
          <w:tcPr>
            <w:tcW w:w="188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有效</w:t>
            </w:r>
          </w:p>
        </w:tc>
        <w:tc>
          <w:tcPr>
            <w:tcW w:w="2032"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原件或加盖鲜章的复印件</w:t>
            </w:r>
          </w:p>
        </w:tc>
        <w:tc>
          <w:tcPr>
            <w:tcW w:w="1714" w:type="dxa"/>
          </w:tcPr>
          <w:p>
            <w:pPr>
              <w:spacing w:line="40" w:lineRule="atLeas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12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808"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法定代表人授权委托书</w:t>
            </w:r>
          </w:p>
        </w:tc>
        <w:tc>
          <w:tcPr>
            <w:tcW w:w="188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有效</w:t>
            </w:r>
          </w:p>
        </w:tc>
        <w:tc>
          <w:tcPr>
            <w:tcW w:w="2032"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原件加盖鲜章</w:t>
            </w:r>
          </w:p>
        </w:tc>
        <w:tc>
          <w:tcPr>
            <w:tcW w:w="1714" w:type="dxa"/>
          </w:tcPr>
          <w:p>
            <w:pPr>
              <w:spacing w:line="40" w:lineRule="atLeas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12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808"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公司营销案例</w:t>
            </w:r>
          </w:p>
        </w:tc>
        <w:tc>
          <w:tcPr>
            <w:tcW w:w="188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真实</w:t>
            </w:r>
          </w:p>
        </w:tc>
        <w:tc>
          <w:tcPr>
            <w:tcW w:w="2032"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参考考察情况说明</w:t>
            </w:r>
          </w:p>
        </w:tc>
        <w:tc>
          <w:tcPr>
            <w:tcW w:w="1714" w:type="dxa"/>
          </w:tcPr>
          <w:p>
            <w:pPr>
              <w:spacing w:line="40" w:lineRule="atLeas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1123"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808"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核心服务团队成员</w:t>
            </w:r>
          </w:p>
        </w:tc>
        <w:tc>
          <w:tcPr>
            <w:tcW w:w="1883" w:type="dxa"/>
          </w:tcPr>
          <w:p>
            <w:pPr>
              <w:spacing w:line="40" w:lineRule="atLeast"/>
              <w:jc w:val="center"/>
              <w:rPr>
                <w:rFonts w:ascii="仿宋_GB2312" w:hAnsi="仿宋_GB2312" w:eastAsia="仿宋_GB2312" w:cs="仿宋_GB2312"/>
                <w:sz w:val="28"/>
                <w:szCs w:val="28"/>
              </w:rPr>
            </w:pPr>
          </w:p>
        </w:tc>
        <w:tc>
          <w:tcPr>
            <w:tcW w:w="2032" w:type="dxa"/>
          </w:tcPr>
          <w:p>
            <w:pPr>
              <w:spacing w:line="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参考考察情况说明</w:t>
            </w:r>
          </w:p>
        </w:tc>
        <w:tc>
          <w:tcPr>
            <w:tcW w:w="1714" w:type="dxa"/>
          </w:tcPr>
          <w:p>
            <w:pPr>
              <w:spacing w:line="40" w:lineRule="atLeast"/>
              <w:jc w:val="center"/>
              <w:rPr>
                <w:rFonts w:ascii="仿宋_GB2312" w:hAnsi="仿宋_GB2312" w:eastAsia="仿宋_GB2312" w:cs="仿宋_GB2312"/>
                <w:sz w:val="28"/>
                <w:szCs w:val="28"/>
              </w:rPr>
            </w:pPr>
          </w:p>
        </w:tc>
      </w:tr>
    </w:tbl>
    <w:p>
      <w:pPr>
        <w:jc w:val="left"/>
        <w:rPr>
          <w:rFonts w:ascii="仿宋_GB2312" w:hAnsi="仿宋_GB2312" w:eastAsia="仿宋_GB2312" w:cs="仿宋_GB2312"/>
          <w:sz w:val="24"/>
        </w:rPr>
      </w:pPr>
      <w:r>
        <w:rPr>
          <w:rFonts w:hint="eastAsia" w:ascii="仿宋_GB2312" w:hAnsi="仿宋_GB2312" w:eastAsia="仿宋_GB2312" w:cs="仿宋_GB2312"/>
          <w:sz w:val="24"/>
        </w:rPr>
        <w:t>注：结论分为“通过”和“不通过”；上表所列评审项目符合要求的结论为“通过”，有任意一项不符合要求的则结论为“不通过”。评审小组仅对结论“通过”的比选申请人进行下一步评审。</w:t>
      </w:r>
    </w:p>
    <w:p>
      <w:pPr>
        <w:jc w:val="left"/>
        <w:rPr>
          <w:rFonts w:ascii="仿宋_GB2312" w:hAnsi="仿宋_GB2312" w:eastAsia="仿宋_GB2312" w:cs="仿宋_GB2312"/>
          <w:sz w:val="24"/>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报价表</w:t>
      </w:r>
      <w:r>
        <w:rPr>
          <w:rFonts w:hint="eastAsia" w:ascii="仿宋_GB2312" w:hAnsi="仿宋_GB2312" w:eastAsia="仿宋_GB2312" w:cs="仿宋_GB2312"/>
          <w:sz w:val="32"/>
          <w:szCs w:val="32"/>
          <w:lang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4"/>
        <w:gridCol w:w="2535"/>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jc w:val="center"/>
              <w:rPr>
                <w:rFonts w:ascii="方正小标宋_GBK" w:hAnsi="方正小标宋_GBK" w:eastAsia="方正小标宋_GBK" w:cs="方正小标宋_GBK"/>
                <w:bCs/>
                <w:sz w:val="32"/>
                <w:szCs w:val="32"/>
              </w:rPr>
            </w:pPr>
            <w:r>
              <w:rPr>
                <w:rFonts w:hint="eastAsia" w:ascii="黑体" w:hAnsi="黑体" w:eastAsia="黑体" w:cs="黑体"/>
                <w:bCs/>
                <w:sz w:val="32"/>
                <w:szCs w:val="32"/>
              </w:rPr>
              <w:t>摩围观唐全案资产联合运营代理比选被邀请人报价表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比选被邀请人名称</w:t>
            </w:r>
          </w:p>
        </w:tc>
        <w:tc>
          <w:tcPr>
            <w:tcW w:w="4738" w:type="dxa"/>
            <w:gridSpan w:val="2"/>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固定月服务费报价</w:t>
            </w:r>
          </w:p>
        </w:tc>
        <w:tc>
          <w:tcPr>
            <w:tcW w:w="4738" w:type="dxa"/>
            <w:gridSpan w:val="2"/>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restart"/>
          </w:tcPr>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浮动月资产运营提成报价</w:t>
            </w: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彭水区域客户占比</w:t>
            </w:r>
          </w:p>
        </w:tc>
        <w:tc>
          <w:tcPr>
            <w:tcW w:w="2203"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提成报价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continue"/>
          </w:tcPr>
          <w:p>
            <w:pPr>
              <w:jc w:val="center"/>
              <w:rPr>
                <w:rFonts w:ascii="仿宋_GB2312" w:hAnsi="仿宋_GB2312" w:eastAsia="仿宋_GB2312" w:cs="仿宋_GB2312"/>
                <w:bCs/>
                <w:sz w:val="32"/>
                <w:szCs w:val="32"/>
              </w:rPr>
            </w:pP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100%</w:t>
            </w:r>
          </w:p>
        </w:tc>
        <w:tc>
          <w:tcPr>
            <w:tcW w:w="2203" w:type="dxa"/>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continue"/>
          </w:tcPr>
          <w:p>
            <w:pPr>
              <w:jc w:val="center"/>
              <w:rPr>
                <w:rFonts w:ascii="仿宋_GB2312" w:hAnsi="仿宋_GB2312" w:eastAsia="仿宋_GB2312" w:cs="仿宋_GB2312"/>
                <w:bCs/>
                <w:sz w:val="32"/>
                <w:szCs w:val="32"/>
              </w:rPr>
            </w:pP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80%-99%</w:t>
            </w:r>
          </w:p>
        </w:tc>
        <w:tc>
          <w:tcPr>
            <w:tcW w:w="2203" w:type="dxa"/>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continue"/>
          </w:tcPr>
          <w:p>
            <w:pPr>
              <w:jc w:val="center"/>
              <w:rPr>
                <w:rFonts w:ascii="仿宋_GB2312" w:hAnsi="仿宋_GB2312" w:eastAsia="仿宋_GB2312" w:cs="仿宋_GB2312"/>
                <w:bCs/>
                <w:sz w:val="32"/>
                <w:szCs w:val="32"/>
              </w:rPr>
            </w:pP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60%-79%</w:t>
            </w:r>
          </w:p>
        </w:tc>
        <w:tc>
          <w:tcPr>
            <w:tcW w:w="2203" w:type="dxa"/>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continue"/>
          </w:tcPr>
          <w:p>
            <w:pPr>
              <w:jc w:val="center"/>
              <w:rPr>
                <w:rFonts w:ascii="仿宋_GB2312" w:hAnsi="仿宋_GB2312" w:eastAsia="仿宋_GB2312" w:cs="仿宋_GB2312"/>
                <w:bCs/>
                <w:sz w:val="32"/>
                <w:szCs w:val="32"/>
              </w:rPr>
            </w:pP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40%-59%</w:t>
            </w:r>
          </w:p>
        </w:tc>
        <w:tc>
          <w:tcPr>
            <w:tcW w:w="2203" w:type="dxa"/>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continue"/>
          </w:tcPr>
          <w:p>
            <w:pPr>
              <w:jc w:val="center"/>
              <w:rPr>
                <w:rFonts w:ascii="仿宋_GB2312" w:hAnsi="仿宋_GB2312" w:eastAsia="仿宋_GB2312" w:cs="仿宋_GB2312"/>
                <w:bCs/>
                <w:sz w:val="32"/>
                <w:szCs w:val="32"/>
              </w:rPr>
            </w:pP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39%以下</w:t>
            </w:r>
          </w:p>
        </w:tc>
        <w:tc>
          <w:tcPr>
            <w:tcW w:w="2203" w:type="dxa"/>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单位名称（公章）：     </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授权代表(签字)：</w:t>
            </w: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年    月    日</w:t>
            </w:r>
          </w:p>
        </w:tc>
      </w:tr>
    </w:tbl>
    <w:p>
      <w:pPr>
        <w:rPr>
          <w:rFonts w:ascii="方正小标宋_GBK" w:hAnsi="方正小标宋_GBK" w:eastAsia="方正小标宋_GBK" w:cs="方正小标宋_GBK"/>
          <w:bCs/>
          <w:sz w:val="32"/>
          <w:szCs w:val="32"/>
        </w:rPr>
      </w:pPr>
    </w:p>
    <w:p>
      <w:pPr>
        <w:rPr>
          <w:rFonts w:ascii="方正小标宋_GBK" w:hAnsi="方正小标宋_GBK" w:eastAsia="方正小标宋_GBK" w:cs="方正小标宋_GBK"/>
          <w:bCs/>
          <w:sz w:val="32"/>
          <w:szCs w:val="32"/>
        </w:rPr>
      </w:pPr>
    </w:p>
    <w:p>
      <w:pPr>
        <w:rPr>
          <w:rFonts w:ascii="方正小标宋_GBK" w:hAnsi="方正小标宋_GBK" w:eastAsia="方正小标宋_GBK" w:cs="方正小标宋_GBK"/>
          <w:bCs/>
          <w:sz w:val="32"/>
          <w:szCs w:val="32"/>
        </w:rPr>
      </w:pPr>
    </w:p>
    <w:p>
      <w:pPr>
        <w:pStyle w:val="2"/>
      </w:pPr>
    </w:p>
    <w:p>
      <w:pPr>
        <w:rPr>
          <w:rFonts w:ascii="方正小标宋_GBK" w:hAnsi="方正小标宋_GBK" w:eastAsia="方正小标宋_GBK" w:cs="方正小标宋_GBK"/>
          <w:bCs/>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比选结果确认表</w:t>
      </w:r>
      <w:r>
        <w:rPr>
          <w:rFonts w:hint="eastAsia" w:ascii="仿宋_GB2312" w:hAnsi="仿宋_GB2312" w:eastAsia="仿宋_GB2312" w:cs="仿宋_GB2312"/>
          <w:sz w:val="32"/>
          <w:szCs w:val="32"/>
          <w:lang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4"/>
        <w:gridCol w:w="2535"/>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jc w:val="center"/>
              <w:rPr>
                <w:rFonts w:ascii="方正小标宋_GBK" w:hAnsi="方正小标宋_GBK" w:eastAsia="方正小标宋_GBK" w:cs="方正小标宋_GBK"/>
                <w:bCs/>
                <w:sz w:val="32"/>
                <w:szCs w:val="32"/>
              </w:rPr>
            </w:pPr>
            <w:r>
              <w:rPr>
                <w:rFonts w:hint="eastAsia" w:ascii="黑体" w:hAnsi="黑体" w:eastAsia="黑体" w:cs="黑体"/>
                <w:bCs/>
                <w:sz w:val="32"/>
                <w:szCs w:val="32"/>
              </w:rPr>
              <w:t>摩围观唐全案资产联合运营代理比选结果确认表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比选被邀请人名称</w:t>
            </w:r>
          </w:p>
        </w:tc>
        <w:tc>
          <w:tcPr>
            <w:tcW w:w="4738" w:type="dxa"/>
            <w:gridSpan w:val="2"/>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中选固定月服务费报价</w:t>
            </w:r>
          </w:p>
        </w:tc>
        <w:tc>
          <w:tcPr>
            <w:tcW w:w="4738" w:type="dxa"/>
            <w:gridSpan w:val="2"/>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restart"/>
          </w:tcPr>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中选浮动月资产运营提成报价</w:t>
            </w: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彭水区域客户占比</w:t>
            </w:r>
          </w:p>
        </w:tc>
        <w:tc>
          <w:tcPr>
            <w:tcW w:w="2203"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提成报价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continue"/>
          </w:tcPr>
          <w:p>
            <w:pPr>
              <w:jc w:val="center"/>
              <w:rPr>
                <w:rFonts w:ascii="仿宋_GB2312" w:hAnsi="仿宋_GB2312" w:eastAsia="仿宋_GB2312" w:cs="仿宋_GB2312"/>
                <w:bCs/>
                <w:sz w:val="32"/>
                <w:szCs w:val="32"/>
              </w:rPr>
            </w:pP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100%</w:t>
            </w:r>
          </w:p>
        </w:tc>
        <w:tc>
          <w:tcPr>
            <w:tcW w:w="2203" w:type="dxa"/>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continue"/>
          </w:tcPr>
          <w:p>
            <w:pPr>
              <w:jc w:val="center"/>
              <w:rPr>
                <w:rFonts w:ascii="仿宋_GB2312" w:hAnsi="仿宋_GB2312" w:eastAsia="仿宋_GB2312" w:cs="仿宋_GB2312"/>
                <w:bCs/>
                <w:sz w:val="32"/>
                <w:szCs w:val="32"/>
              </w:rPr>
            </w:pP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80%-99%</w:t>
            </w:r>
          </w:p>
        </w:tc>
        <w:tc>
          <w:tcPr>
            <w:tcW w:w="2203" w:type="dxa"/>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continue"/>
          </w:tcPr>
          <w:p>
            <w:pPr>
              <w:jc w:val="center"/>
              <w:rPr>
                <w:rFonts w:ascii="仿宋_GB2312" w:hAnsi="仿宋_GB2312" w:eastAsia="仿宋_GB2312" w:cs="仿宋_GB2312"/>
                <w:bCs/>
                <w:sz w:val="32"/>
                <w:szCs w:val="32"/>
              </w:rPr>
            </w:pP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60%-79%</w:t>
            </w:r>
          </w:p>
        </w:tc>
        <w:tc>
          <w:tcPr>
            <w:tcW w:w="2203" w:type="dxa"/>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continue"/>
          </w:tcPr>
          <w:p>
            <w:pPr>
              <w:jc w:val="center"/>
              <w:rPr>
                <w:rFonts w:ascii="仿宋_GB2312" w:hAnsi="仿宋_GB2312" w:eastAsia="仿宋_GB2312" w:cs="仿宋_GB2312"/>
                <w:bCs/>
                <w:sz w:val="32"/>
                <w:szCs w:val="32"/>
              </w:rPr>
            </w:pP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40%-59%</w:t>
            </w:r>
          </w:p>
        </w:tc>
        <w:tc>
          <w:tcPr>
            <w:tcW w:w="2203" w:type="dxa"/>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Merge w:val="continue"/>
          </w:tcPr>
          <w:p>
            <w:pPr>
              <w:jc w:val="center"/>
              <w:rPr>
                <w:rFonts w:ascii="仿宋_GB2312" w:hAnsi="仿宋_GB2312" w:eastAsia="仿宋_GB2312" w:cs="仿宋_GB2312"/>
                <w:bCs/>
                <w:sz w:val="32"/>
                <w:szCs w:val="32"/>
              </w:rPr>
            </w:pPr>
          </w:p>
        </w:tc>
        <w:tc>
          <w:tcPr>
            <w:tcW w:w="2535" w:type="dxa"/>
          </w:tcPr>
          <w:p>
            <w:pPr>
              <w:tabs>
                <w:tab w:val="left" w:pos="951"/>
              </w:tabs>
              <w:jc w:val="center"/>
              <w:rPr>
                <w:rFonts w:ascii="仿宋_GB2312" w:hAnsi="仿宋_GB2312" w:eastAsia="仿宋_GB2312" w:cs="仿宋_GB2312"/>
                <w:bCs/>
                <w:sz w:val="32"/>
                <w:szCs w:val="32"/>
              </w:rPr>
            </w:pPr>
            <w:r>
              <w:rPr>
                <w:rFonts w:hint="eastAsia" w:ascii="仿宋_GB2312" w:hAnsi="仿宋_GB2312" w:eastAsia="仿宋_GB2312" w:cs="仿宋_GB2312"/>
                <w:sz w:val="28"/>
                <w:szCs w:val="28"/>
              </w:rPr>
              <w:t>39%以下</w:t>
            </w:r>
          </w:p>
        </w:tc>
        <w:tc>
          <w:tcPr>
            <w:tcW w:w="2203" w:type="dxa"/>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评审小组成员签名：</w:t>
            </w: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中选单位签名：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年      月      日 </w:t>
            </w:r>
          </w:p>
        </w:tc>
      </w:tr>
    </w:tbl>
    <w:p>
      <w:pPr>
        <w:rPr>
          <w:rFonts w:ascii="方正小标宋_GBK" w:hAnsi="方正小标宋_GBK" w:eastAsia="方正小标宋_GBK" w:cs="方正小标宋_GBK"/>
          <w:bCs/>
          <w:sz w:val="32"/>
          <w:szCs w:val="32"/>
        </w:rPr>
      </w:pPr>
    </w:p>
    <w:p>
      <w:pPr>
        <w:rPr>
          <w:rFonts w:ascii="方正小标宋_GBK" w:hAnsi="方正小标宋_GBK" w:eastAsia="方正小标宋_GBK" w:cs="方正小标宋_GBK"/>
          <w:bCs/>
          <w:sz w:val="32"/>
          <w:szCs w:val="32"/>
        </w:rPr>
      </w:pPr>
    </w:p>
    <w:p>
      <w:pPr>
        <w:rPr>
          <w:rFonts w:hint="eastAsia" w:ascii="方正小标宋_GBK" w:hAnsi="方正小标宋_GBK" w:eastAsia="方正小标宋_GBK" w:cs="方正小标宋_GBK"/>
          <w:bCs/>
          <w:sz w:val="32"/>
          <w:szCs w:val="32"/>
        </w:rPr>
      </w:pPr>
    </w:p>
    <w:p>
      <w:pPr>
        <w:pStyle w:val="2"/>
        <w:rPr>
          <w:rFonts w:hint="eastAsia"/>
        </w:rPr>
      </w:pPr>
    </w:p>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中选通知书</w:t>
      </w:r>
      <w:r>
        <w:rPr>
          <w:rFonts w:hint="eastAsia" w:ascii="仿宋_GB2312" w:hAnsi="仿宋_GB2312" w:eastAsia="仿宋_GB2312" w:cs="仿宋_GB2312"/>
          <w:sz w:val="32"/>
          <w:szCs w:val="32"/>
          <w:lang w:eastAsia="zh-CN"/>
        </w:rPr>
        <w:t>》</w:t>
      </w:r>
    </w:p>
    <w:p>
      <w:pPr>
        <w:jc w:val="center"/>
        <w:rPr>
          <w:rFonts w:hint="eastAsia" w:ascii="黑体" w:hAnsi="黑体" w:eastAsia="黑体" w:cs="黑体"/>
          <w:bCs/>
          <w:sz w:val="32"/>
          <w:szCs w:val="32"/>
        </w:rPr>
      </w:pPr>
      <w:r>
        <w:rPr>
          <w:rFonts w:hint="eastAsia" w:ascii="黑体" w:hAnsi="黑体" w:eastAsia="黑体" w:cs="黑体"/>
          <w:bCs/>
          <w:sz w:val="32"/>
          <w:szCs w:val="32"/>
        </w:rPr>
        <w:t>彭水县摩围山旅游开发有限公司</w:t>
      </w:r>
    </w:p>
    <w:p>
      <w:pPr>
        <w:jc w:val="center"/>
        <w:rPr>
          <w:rFonts w:hint="eastAsia" w:ascii="黑体" w:hAnsi="黑体" w:eastAsia="黑体" w:cs="黑体"/>
          <w:bCs/>
          <w:sz w:val="32"/>
          <w:szCs w:val="32"/>
        </w:rPr>
      </w:pPr>
      <w:r>
        <w:rPr>
          <w:rFonts w:hint="eastAsia" w:ascii="黑体" w:hAnsi="黑体" w:eastAsia="黑体" w:cs="黑体"/>
          <w:bCs/>
          <w:sz w:val="32"/>
          <w:szCs w:val="32"/>
        </w:rPr>
        <w:t>摩围观唐全案资产联合运营代理中选通知书</w:t>
      </w:r>
    </w:p>
    <w:p>
      <w:pPr>
        <w:rPr>
          <w:rFonts w:ascii="方正小标宋_GBK" w:hAnsi="方正小标宋_GBK" w:eastAsia="方正小标宋_GBK" w:cs="方正小标宋_GBK"/>
          <w:bCs/>
          <w:sz w:val="32"/>
          <w:szCs w:val="32"/>
          <w:u w:val="single"/>
        </w:rPr>
      </w:pPr>
      <w:r>
        <w:rPr>
          <w:rFonts w:hint="eastAsia" w:ascii="方正小标宋_GBK" w:hAnsi="方正小标宋_GBK" w:eastAsia="方正小标宋_GBK" w:cs="方正小标宋_GBK"/>
          <w:bCs/>
          <w:sz w:val="32"/>
          <w:szCs w:val="32"/>
          <w:u w:val="single"/>
        </w:rPr>
        <w:t xml:space="preserve">                         </w:t>
      </w:r>
      <w:r>
        <w:rPr>
          <w:rFonts w:hint="eastAsia" w:ascii="方正小标宋_GBK" w:hAnsi="方正小标宋_GBK" w:eastAsia="方正小标宋_GBK" w:cs="方正小标宋_GBK"/>
          <w:bCs/>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经评比，你公司在摩围观唐全案资产联合运营代理的比选活动中，以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万元/月的固定月服务费和</w:t>
      </w:r>
      <w:r>
        <w:rPr>
          <w:rFonts w:hint="eastAsia" w:ascii="仿宋_GB2312" w:hAnsi="仿宋_GB2312" w:eastAsia="仿宋_GB2312" w:cs="仿宋_GB2312"/>
          <w:sz w:val="32"/>
          <w:szCs w:val="32"/>
          <w:u w:val="single"/>
        </w:rPr>
        <w:t xml:space="preserve">    至    </w:t>
      </w:r>
      <w:r>
        <w:rPr>
          <w:rFonts w:hint="eastAsia" w:ascii="仿宋_GB2312" w:hAnsi="仿宋_GB2312" w:eastAsia="仿宋_GB2312" w:cs="仿宋_GB2312"/>
          <w:sz w:val="32"/>
          <w:szCs w:val="32"/>
        </w:rPr>
        <w:t>的浮动月地产运营提成标准中选。请于2021年6月3日之前来彭水县摩围山旅游开发有限公司签订书面合同。如你公司未按规定时间前来我司签订合同，我司将取消其中选资格。</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比选人：彭水县摩围山旅游开发有限公司</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2021年    月     日</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法定代表人授权委托书</w:t>
      </w:r>
      <w:r>
        <w:rPr>
          <w:rFonts w:hint="eastAsia" w:ascii="仿宋_GB2312" w:hAnsi="仿宋_GB2312" w:eastAsia="仿宋_GB2312" w:cs="仿宋_GB2312"/>
          <w:sz w:val="32"/>
          <w:szCs w:val="32"/>
          <w:lang w:eastAsia="zh-CN"/>
        </w:rPr>
        <w:t>》</w:t>
      </w:r>
    </w:p>
    <w:p>
      <w:pPr>
        <w:jc w:val="center"/>
        <w:rPr>
          <w:rFonts w:hint="eastAsia" w:ascii="黑体" w:hAnsi="黑体" w:eastAsia="黑体" w:cs="黑体"/>
          <w:sz w:val="32"/>
          <w:szCs w:val="32"/>
        </w:rPr>
      </w:pPr>
      <w:r>
        <w:rPr>
          <w:rFonts w:hint="eastAsia" w:ascii="黑体" w:hAnsi="黑体" w:eastAsia="黑体" w:cs="黑体"/>
          <w:bCs/>
          <w:sz w:val="32"/>
          <w:szCs w:val="32"/>
        </w:rPr>
        <w:t>法定代表人授权委托书</w:t>
      </w:r>
    </w:p>
    <w:p>
      <w:pPr>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彭水县摩围山旅游开发有限公司：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的法定代表人，现授权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为我单位委托代理人，以本单位的名义参加贵公司摩围观唐全案资产联合运营代理比选活动。委托代理人在比选活动过程中所签署的一切文件和处理与之有关的一切事务，我及我单位均予以承认，并承担其产生的所有权利义务及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特此委托。</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比选被邀请人：（法人签字并加盖企业公章）</w:t>
      </w:r>
    </w:p>
    <w:p>
      <w:pPr>
        <w:ind w:firstLine="640" w:firstLineChars="200"/>
        <w:jc w:val="righ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法定代表人身份证明书</w:t>
      </w:r>
      <w:r>
        <w:rPr>
          <w:rFonts w:hint="eastAsia" w:ascii="仿宋_GB2312" w:hAnsi="仿宋_GB2312" w:eastAsia="仿宋_GB2312" w:cs="仿宋_GB2312"/>
          <w:sz w:val="32"/>
          <w:szCs w:val="32"/>
          <w:lang w:eastAsia="zh-CN"/>
        </w:rPr>
        <w:t>》</w:t>
      </w:r>
    </w:p>
    <w:p>
      <w:pPr>
        <w:jc w:val="center"/>
        <w:rPr>
          <w:rFonts w:ascii="方正小标宋_GBK" w:hAnsi="方正小标宋_GBK" w:eastAsia="方正小标宋_GBK" w:cs="方正小标宋_GBK"/>
          <w:bCs/>
          <w:sz w:val="32"/>
          <w:szCs w:val="32"/>
        </w:rPr>
      </w:pPr>
      <w:r>
        <w:rPr>
          <w:rFonts w:hint="eastAsia" w:ascii="黑体" w:hAnsi="黑体" w:eastAsia="黑体" w:cs="黑体"/>
          <w:bCs/>
          <w:sz w:val="32"/>
          <w:szCs w:val="32"/>
        </w:rPr>
        <w:t>法定代表人身份证明书</w:t>
      </w:r>
    </w:p>
    <w:p>
      <w:pPr>
        <w:ind w:firstLine="640" w:firstLineChars="200"/>
        <w:rPr>
          <w:rFonts w:ascii="方正小标宋_GBK" w:hAnsi="方正小标宋_GBK" w:eastAsia="方正小标宋_GBK" w:cs="方正小标宋_GBK"/>
          <w:bCs/>
          <w:sz w:val="32"/>
          <w:szCs w:val="32"/>
          <w:u w:val="single"/>
        </w:rPr>
      </w:pPr>
    </w:p>
    <w:p>
      <w:pPr>
        <w:ind w:firstLine="640" w:firstLineChars="200"/>
        <w:rPr>
          <w:rFonts w:ascii="仿宋_GB2312" w:hAnsi="仿宋_GB2312" w:eastAsia="仿宋_GB2312" w:cs="仿宋_GB2312"/>
          <w:sz w:val="32"/>
          <w:szCs w:val="32"/>
        </w:rPr>
      </w:pPr>
      <w:r>
        <w:rPr>
          <w:rFonts w:hint="eastAsia" w:ascii="方正小标宋_GBK" w:hAnsi="方正小标宋_GBK" w:eastAsia="方正小标宋_GBK" w:cs="方正小标宋_GBK"/>
          <w:bCs/>
          <w:sz w:val="32"/>
          <w:szCs w:val="32"/>
          <w:u w:val="single"/>
        </w:rPr>
        <w:t xml:space="preserve">          </w:t>
      </w:r>
      <w:r>
        <w:rPr>
          <w:rFonts w:hint="eastAsia" w:ascii="仿宋_GB2312" w:hAnsi="仿宋_GB2312" w:eastAsia="仿宋_GB2312" w:cs="仿宋_GB2312"/>
          <w:sz w:val="32"/>
          <w:szCs w:val="32"/>
        </w:rPr>
        <w:t>同志现</w:t>
      </w:r>
      <w:bookmarkStart w:id="0" w:name="_GoBack"/>
      <w:bookmarkEnd w:id="0"/>
      <w:r>
        <w:rPr>
          <w:rFonts w:hint="eastAsia" w:ascii="仿宋_GB2312" w:hAnsi="仿宋_GB2312" w:eastAsia="仿宋_GB2312" w:cs="仿宋_GB2312"/>
          <w:sz w:val="32"/>
          <w:szCs w:val="32"/>
        </w:rPr>
        <w:t>在我公司任职，是我公司法定代表人。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单位名称：（盖章）</w:t>
      </w:r>
    </w:p>
    <w:p>
      <w:pPr>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jc w:val="center"/>
        <w:rPr>
          <w:rFonts w:ascii="方正小标宋_GBK" w:hAnsi="方正小标宋_GBK" w:eastAsia="方正小标宋_GBK" w:cs="方正小标宋_GBK"/>
          <w:bCs/>
          <w:sz w:val="32"/>
          <w:szCs w:val="32"/>
        </w:rPr>
      </w:pPr>
    </w:p>
    <w:p>
      <w:pPr>
        <w:jc w:val="center"/>
        <w:rPr>
          <w:rFonts w:ascii="方正小标宋_GBK" w:hAnsi="方正小标宋_GBK" w:eastAsia="方正小标宋_GBK" w:cs="方正小标宋_GBK"/>
          <w:bCs/>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pgSz w:w="11906" w:h="16838"/>
      <w:pgMar w:top="1440"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楷体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DE5187A"/>
    <w:rsid w:val="001127A4"/>
    <w:rsid w:val="004709A5"/>
    <w:rsid w:val="00AE4484"/>
    <w:rsid w:val="00DA5F18"/>
    <w:rsid w:val="03472098"/>
    <w:rsid w:val="077F41BF"/>
    <w:rsid w:val="0D706D56"/>
    <w:rsid w:val="11D83005"/>
    <w:rsid w:val="14E84E7A"/>
    <w:rsid w:val="19C303F5"/>
    <w:rsid w:val="25CF7034"/>
    <w:rsid w:val="276553C2"/>
    <w:rsid w:val="2DE5187A"/>
    <w:rsid w:val="37E47C7F"/>
    <w:rsid w:val="39A62DF1"/>
    <w:rsid w:val="40D30016"/>
    <w:rsid w:val="4E8D531C"/>
    <w:rsid w:val="5064380F"/>
    <w:rsid w:val="52FE73C4"/>
    <w:rsid w:val="6E4F0895"/>
    <w:rsid w:val="6F44381D"/>
    <w:rsid w:val="71077A66"/>
    <w:rsid w:val="712D265A"/>
    <w:rsid w:val="729B2D98"/>
    <w:rsid w:val="78D66BA6"/>
    <w:rsid w:val="7A7976B6"/>
    <w:rsid w:val="7EE61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2">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zh-CN" w:bidi="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td1"/>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463</Words>
  <Characters>2645</Characters>
  <Lines>22</Lines>
  <Paragraphs>6</Paragraphs>
  <TotalTime>37</TotalTime>
  <ScaleCrop>false</ScaleCrop>
  <LinksUpToDate>false</LinksUpToDate>
  <CharactersWithSpaces>3102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2021-04-26T00:50:00Z</dcterms:created>
  <dc:creator>FuGuangL</dc:creator>
  <cp:lastModifiedBy>简单</cp:lastModifiedBy>
  <dcterms:modified xsi:type="dcterms:W3CDTF">2021-05-26T07:36:09Z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0C6E8D7B5FD34E74AF57D827622E6353</vt:lpwstr>
  </property>
  <property fmtid="{D5CDD505-2E9C-101B-9397-08002B2CF9AE}" pid="4" name="KSOSaveFontToCloudKey">
    <vt:lpwstr>787606035_btnclosed</vt:lpwstr>
  </property>
</Properties>
</file>